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山东鲁能智能技术有限公司高压直流输电工程阀厅巡检机器人安装调试项目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LN19W2-0710-JY-GCDXJT-SY01</w:t>
      </w:r>
    </w:p>
    <w:p>
      <w:pPr>
        <w:pStyle w:val="2"/>
        <w:rPr>
          <w:rFonts w:hint="eastAsia" w:ascii="方正仿宋_GBK" w:hAnsi="方正仿宋_GBK" w:eastAsia="方正仿宋_GBK" w:cs="方正仿宋_GBK"/>
          <w:b/>
          <w:sz w:val="32"/>
          <w:szCs w:val="32"/>
        </w:rPr>
      </w:pPr>
    </w:p>
    <w:tbl>
      <w:tblPr>
        <w:tblStyle w:val="3"/>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270"/>
        <w:gridCol w:w="870"/>
        <w:gridCol w:w="705"/>
        <w:gridCol w:w="930"/>
        <w:gridCol w:w="930"/>
        <w:gridCol w:w="358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28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27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7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5" w:type="dxa"/>
            <w:vAlign w:val="center"/>
          </w:tcPr>
          <w:p>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lang w:eastAsia="zh-CN"/>
              </w:rPr>
              <w:t>工</w:t>
            </w:r>
            <w:r>
              <w:rPr>
                <w:rFonts w:hint="eastAsia" w:ascii="仿宋" w:hAnsi="仿宋" w:eastAsia="仿宋" w:cs="Arial"/>
                <w:b/>
                <w:bCs/>
                <w:color w:val="auto"/>
                <w:kern w:val="0"/>
                <w:sz w:val="22"/>
                <w:szCs w:val="22"/>
              </w:rPr>
              <w:t>期</w:t>
            </w:r>
          </w:p>
        </w:tc>
        <w:tc>
          <w:tcPr>
            <w:tcW w:w="930" w:type="dxa"/>
            <w:vAlign w:val="center"/>
          </w:tcPr>
          <w:p>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质保期</w:t>
            </w:r>
          </w:p>
        </w:tc>
        <w:tc>
          <w:tcPr>
            <w:tcW w:w="930"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highlight w:val="none"/>
                <w:lang w:eastAsia="zh-CN"/>
              </w:rPr>
              <w:t>（元）</w:t>
            </w:r>
          </w:p>
        </w:tc>
        <w:tc>
          <w:tcPr>
            <w:tcW w:w="3585" w:type="dxa"/>
            <w:vAlign w:val="center"/>
          </w:tcPr>
          <w:p>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highlight w:val="none"/>
                <w:lang w:eastAsia="zh-CN"/>
              </w:rPr>
              <w:t>专用资质业绩要求</w:t>
            </w:r>
          </w:p>
        </w:tc>
        <w:tc>
          <w:tcPr>
            <w:tcW w:w="1580"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宋体"/>
                <w:b/>
                <w:bCs/>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228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山东鲁能智能技术有限公司高压直流输电工程阀厅巡检机器人安装调试项目</w:t>
            </w:r>
          </w:p>
        </w:tc>
        <w:tc>
          <w:tcPr>
            <w:tcW w:w="327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阀厅固定点机器人安装、高空固定件焊接，高空固定开孔、控制箱安装、控制屏柜安装、光纤熔接、通讯电缆铺设、通讯光纤铺设、高空作业平台车租赁，满足项目整体验收标准对通讯及电缆光纤套保护管，做防火处理，接地处理（含接地材料）等工作。后台系统信息安全配置、设备模型建立与配置、功能模型建立与配置、地图模型建立与配置、控制箱调试、整套系统试运行测试等。</w:t>
            </w:r>
          </w:p>
        </w:tc>
        <w:tc>
          <w:tcPr>
            <w:tcW w:w="87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20套</w:t>
            </w:r>
          </w:p>
        </w:tc>
        <w:tc>
          <w:tcPr>
            <w:tcW w:w="70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1年</w:t>
            </w:r>
          </w:p>
        </w:tc>
        <w:tc>
          <w:tcPr>
            <w:tcW w:w="93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年</w:t>
            </w:r>
          </w:p>
        </w:tc>
        <w:tc>
          <w:tcPr>
            <w:tcW w:w="930" w:type="dxa"/>
            <w:vAlign w:val="center"/>
          </w:tcPr>
          <w:p>
            <w:pPr>
              <w:widowControl/>
              <w:jc w:val="center"/>
              <w:rPr>
                <w:rFonts w:hint="default" w:ascii="仿宋" w:hAnsi="仿宋" w:eastAsia="仿宋" w:cs="Arial"/>
                <w:b w:val="0"/>
                <w:bCs/>
                <w:color w:val="000000" w:themeColor="text1"/>
                <w:kern w:val="0"/>
                <w:sz w:val="22"/>
                <w:szCs w:val="22"/>
                <w:lang w:val="en-US" w:eastAsia="zh-CN"/>
                <w14:textFill>
                  <w14:solidFill>
                    <w14:schemeClr w14:val="tx1"/>
                  </w14:solidFill>
                </w14:textFill>
              </w:rPr>
            </w:pPr>
            <w:r>
              <w:rPr>
                <w:rFonts w:hint="eastAsia" w:ascii="仿宋" w:hAnsi="仿宋" w:eastAsia="仿宋" w:cs="Arial"/>
                <w:b w:val="0"/>
                <w:bCs/>
                <w:color w:val="000000" w:themeColor="text1"/>
                <w:kern w:val="0"/>
                <w:sz w:val="22"/>
                <w:szCs w:val="22"/>
                <w:lang w:val="en-US" w:eastAsia="zh-CN"/>
                <w14:textFill>
                  <w14:solidFill>
                    <w14:schemeClr w14:val="tx1"/>
                  </w14:solidFill>
                </w14:textFill>
              </w:rPr>
              <w:t>14850</w:t>
            </w:r>
          </w:p>
        </w:tc>
        <w:tc>
          <w:tcPr>
            <w:tcW w:w="3585" w:type="dxa"/>
            <w:vAlign w:val="center"/>
          </w:tcPr>
          <w:p>
            <w:pPr>
              <w:widowControl/>
              <w:numPr>
                <w:ilvl w:val="0"/>
                <w:numId w:val="1"/>
              </w:numPr>
              <w:jc w:val="left"/>
              <w:rPr>
                <w:rFonts w:hint="eastAsia"/>
                <w:lang w:eastAsia="zh-CN"/>
              </w:rPr>
            </w:pPr>
            <w:r>
              <w:rPr>
                <w:rFonts w:hint="eastAsia" w:ascii="仿宋" w:hAnsi="仿宋" w:eastAsia="仿宋" w:cs="Arial"/>
                <w:b w:val="0"/>
                <w:bCs/>
                <w:color w:val="auto"/>
                <w:kern w:val="0"/>
                <w:sz w:val="22"/>
                <w:szCs w:val="22"/>
                <w:highlight w:val="none"/>
                <w:lang w:eastAsia="zh-CN"/>
              </w:rPr>
              <w:t>厂商要求：</w:t>
            </w:r>
            <w:r>
              <w:rPr>
                <w:rFonts w:hint="eastAsia" w:ascii="仿宋" w:hAnsi="仿宋" w:eastAsia="仿宋" w:cs="宋体"/>
                <w:kern w:val="0"/>
                <w:sz w:val="22"/>
                <w:szCs w:val="22"/>
              </w:rPr>
              <w:t>截至投标截止日期前，企业成立年限不低于一年，应答人应具有独立订立合同的法人资格。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应答人营业执照经营范围应包含建筑机电安装工程。</w:t>
            </w:r>
          </w:p>
          <w:p>
            <w:pPr>
              <w:widowControl/>
              <w:jc w:val="left"/>
              <w:rPr>
                <w:rFonts w:hint="eastAsia" w:ascii="仿宋" w:hAnsi="仿宋" w:eastAsia="仿宋" w:cs="Arial"/>
                <w:b w:val="0"/>
                <w:bCs/>
                <w:color w:val="auto"/>
                <w:kern w:val="0"/>
                <w:sz w:val="22"/>
                <w:szCs w:val="22"/>
                <w:highlight w:val="none"/>
                <w:lang w:eastAsia="zh-CN"/>
              </w:rPr>
            </w:pPr>
            <w:r>
              <w:rPr>
                <w:rFonts w:hint="eastAsia" w:ascii="仿宋" w:hAnsi="仿宋" w:eastAsia="仿宋" w:cs="Arial"/>
                <w:b w:val="0"/>
                <w:bCs/>
                <w:color w:val="auto"/>
                <w:kern w:val="0"/>
                <w:sz w:val="22"/>
                <w:szCs w:val="22"/>
                <w:highlight w:val="none"/>
                <w:lang w:val="en-US" w:eastAsia="zh-CN"/>
              </w:rPr>
              <w:t>2、</w:t>
            </w:r>
            <w:r>
              <w:rPr>
                <w:rFonts w:hint="eastAsia" w:ascii="仿宋" w:hAnsi="仿宋" w:eastAsia="仿宋" w:cs="宋体"/>
                <w:color w:val="000000" w:themeColor="text1"/>
                <w:kern w:val="0"/>
                <w:sz w:val="22"/>
                <w:szCs w:val="22"/>
                <w14:textFill>
                  <w14:solidFill>
                    <w14:schemeClr w14:val="tx1"/>
                  </w14:solidFill>
                </w14:textFill>
              </w:rPr>
              <w:t>提供有效期内的安全生产许可证</w:t>
            </w:r>
          </w:p>
          <w:p>
            <w:pPr>
              <w:widowControl/>
              <w:jc w:val="left"/>
              <w:rPr>
                <w:rFonts w:hint="eastAsia" w:eastAsia="仿宋"/>
                <w:b w:val="0"/>
                <w:bCs/>
                <w:lang w:val="en-US" w:eastAsia="zh-CN"/>
              </w:rPr>
            </w:pPr>
            <w:r>
              <w:rPr>
                <w:rFonts w:hint="eastAsia" w:ascii="仿宋" w:hAnsi="仿宋" w:eastAsia="仿宋" w:cs="Arial"/>
                <w:b w:val="0"/>
                <w:bCs/>
                <w:color w:val="auto"/>
                <w:kern w:val="0"/>
                <w:sz w:val="22"/>
                <w:szCs w:val="22"/>
                <w:highlight w:val="none"/>
                <w:lang w:val="en-US" w:eastAsia="zh-CN"/>
              </w:rPr>
              <w:t>3、有效的资质等级证书：</w:t>
            </w:r>
            <w:r>
              <w:rPr>
                <w:rFonts w:hint="eastAsia" w:ascii="仿宋" w:hAnsi="仿宋" w:eastAsia="仿宋" w:cs="宋体"/>
                <w:kern w:val="0"/>
                <w:sz w:val="22"/>
                <w:szCs w:val="22"/>
              </w:rPr>
              <w:t>建筑机电安装工程专业承包叁级或输变电工程专业承包叁级及以上</w:t>
            </w:r>
            <w:r>
              <w:rPr>
                <w:rFonts w:hint="eastAsia" w:ascii="仿宋" w:hAnsi="仿宋" w:eastAsia="仿宋" w:cs="宋体"/>
                <w:kern w:val="0"/>
                <w:sz w:val="22"/>
                <w:szCs w:val="22"/>
                <w:lang w:eastAsia="zh-CN"/>
              </w:rPr>
              <w:t>。</w:t>
            </w:r>
          </w:p>
        </w:tc>
        <w:tc>
          <w:tcPr>
            <w:tcW w:w="1580" w:type="dxa"/>
            <w:vAlign w:val="center"/>
          </w:tcPr>
          <w:p>
            <w:pPr>
              <w:widowControl/>
              <w:jc w:val="center"/>
              <w:rPr>
                <w:rFonts w:hint="eastAsia" w:ascii="仿宋" w:hAnsi="仿宋" w:eastAsia="仿宋" w:cs="Arial"/>
                <w:b w:val="0"/>
                <w:bCs/>
                <w:color w:val="auto"/>
                <w:kern w:val="0"/>
                <w:sz w:val="22"/>
                <w:szCs w:val="22"/>
                <w:highlight w:val="none"/>
                <w:lang w:val="en-US" w:eastAsia="zh-CN"/>
              </w:rPr>
            </w:pPr>
            <w:r>
              <w:rPr>
                <w:rFonts w:hint="eastAsia" w:ascii="仿宋" w:hAnsi="仿宋" w:eastAsia="仿宋" w:cs="宋体"/>
                <w:color w:val="000000" w:themeColor="text1"/>
                <w:kern w:val="0"/>
                <w:sz w:val="22"/>
                <w:szCs w:val="22"/>
                <w14:textFill>
                  <w14:solidFill>
                    <w14:schemeClr w14:val="tx1"/>
                  </w14:solidFill>
                </w14:textFill>
              </w:rPr>
              <w:t>不接受代理商及联合体投标</w:t>
            </w:r>
          </w:p>
        </w:tc>
      </w:tr>
    </w:tbl>
    <w:p>
      <w:pPr>
        <w:bidi w:val="0"/>
        <w:rPr>
          <w:rFonts w:hint="eastAsia"/>
          <w:lang w:val="en-US" w:eastAsia="zh-CN"/>
        </w:rPr>
      </w:pPr>
      <w:bookmarkStart w:id="0" w:name="_GoBack"/>
      <w:bookmarkEnd w:id="0"/>
    </w:p>
    <w:p>
      <w:pPr>
        <w:rPr>
          <w:rFonts w:hint="eastAsia"/>
          <w:lang w:eastAsia="zh-CN"/>
        </w:rPr>
      </w:pPr>
    </w:p>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C0CBD"/>
    <w:multiLevelType w:val="singleLevel"/>
    <w:tmpl w:val="C77C0C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C484EDE"/>
    <w:rsid w:val="31544C71"/>
    <w:rsid w:val="45C72F3E"/>
    <w:rsid w:val="48533871"/>
    <w:rsid w:val="525E03F7"/>
    <w:rsid w:val="70F3072C"/>
    <w:rsid w:val="71D5459A"/>
    <w:rsid w:val="7357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梧桐雨</cp:lastModifiedBy>
  <cp:lastPrinted>2019-06-17T08:21:00Z</cp:lastPrinted>
  <dcterms:modified xsi:type="dcterms:W3CDTF">2019-07-10T09:00:45Z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