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ascii="方正仿宋_GBK" w:hAnsi="方正仿宋_GBK" w:eastAsia="方正仿宋_GBK" w:cs="方正仿宋_GBK"/>
          <w:sz w:val="28"/>
          <w:szCs w:val="28"/>
          <w:lang w:eastAsia="zh-CN"/>
        </w:rPr>
        <w:t>项目名称：山东鲁能智能技术有限公司基于人工智能技术的电力巡检机器人产品研制及其推广应用物资采购项目</w:t>
      </w:r>
    </w:p>
    <w:p>
      <w:pP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项目编号：LN19W2-0710-JY-WZDXJT-SY06</w:t>
      </w:r>
    </w:p>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货物需求一览表</w:t>
      </w:r>
    </w:p>
    <w:tbl>
      <w:tblPr>
        <w:tblStyle w:val="3"/>
        <w:tblW w:w="14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62"/>
        <w:gridCol w:w="4082"/>
        <w:gridCol w:w="840"/>
        <w:gridCol w:w="735"/>
        <w:gridCol w:w="1335"/>
        <w:gridCol w:w="990"/>
        <w:gridCol w:w="1635"/>
        <w:gridCol w:w="103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w:t>
            </w:r>
          </w:p>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名称</w:t>
            </w:r>
          </w:p>
        </w:tc>
        <w:tc>
          <w:tcPr>
            <w:tcW w:w="1162" w:type="dxa"/>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物资名称</w:t>
            </w:r>
          </w:p>
        </w:tc>
        <w:tc>
          <w:tcPr>
            <w:tcW w:w="4082" w:type="dxa"/>
            <w:tcBorders>
              <w:bottom w:val="single" w:color="auto" w:sz="4" w:space="0"/>
            </w:tcBorders>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主要技术要求</w:t>
            </w:r>
          </w:p>
        </w:tc>
        <w:tc>
          <w:tcPr>
            <w:tcW w:w="840" w:type="dxa"/>
            <w:tcBorders>
              <w:bottom w:val="single" w:color="auto" w:sz="4" w:space="0"/>
            </w:tcBorders>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735" w:type="dxa"/>
            <w:tcBorders>
              <w:bottom w:val="single" w:color="auto" w:sz="4" w:space="0"/>
            </w:tcBorders>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1335" w:type="dxa"/>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交货日期</w:t>
            </w:r>
          </w:p>
        </w:tc>
        <w:tc>
          <w:tcPr>
            <w:tcW w:w="99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635" w:type="dxa"/>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交货地点</w:t>
            </w:r>
          </w:p>
        </w:tc>
        <w:tc>
          <w:tcPr>
            <w:tcW w:w="1035" w:type="dxa"/>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保证金（万元）</w:t>
            </w:r>
          </w:p>
        </w:tc>
        <w:tc>
          <w:tcPr>
            <w:tcW w:w="1680" w:type="dxa"/>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101" w:type="dxa"/>
            <w:vMerge w:val="restar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基于人工智能技术的电力巡检机器人产品研制及其推广应用物资采购项目</w:t>
            </w:r>
          </w:p>
        </w:tc>
        <w:tc>
          <w:tcPr>
            <w:tcW w:w="1162" w:type="dxa"/>
            <w:shd w:val="clear" w:color="auto" w:fill="auto"/>
            <w:vAlign w:val="center"/>
          </w:tcPr>
          <w:p>
            <w:pPr>
              <w:snapToGrid w:val="0"/>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麦克纳姆轮</w:t>
            </w:r>
          </w:p>
        </w:tc>
        <w:tc>
          <w:tcPr>
            <w:tcW w:w="4082" w:type="dxa"/>
            <w:shd w:val="clear" w:color="auto" w:fill="auto"/>
            <w:vAlign w:val="center"/>
          </w:tcPr>
          <w:p>
            <w:pPr>
              <w:widowControl/>
              <w:snapToGrid w:val="0"/>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负载能力：</w:t>
            </w:r>
            <w:r>
              <w:rPr>
                <w:rFonts w:ascii="仿宋" w:hAnsi="仿宋" w:eastAsia="仿宋" w:cs="Arial"/>
                <w:color w:val="000000" w:themeColor="text1"/>
                <w:kern w:val="0"/>
                <w:sz w:val="22"/>
                <w:szCs w:val="22"/>
                <w14:textFill>
                  <w14:solidFill>
                    <w14:schemeClr w14:val="tx1"/>
                  </w14:solidFill>
                </w14:textFill>
              </w:rPr>
              <w:t>10</w:t>
            </w:r>
            <w:r>
              <w:rPr>
                <w:rFonts w:hint="eastAsia" w:ascii="仿宋" w:hAnsi="仿宋" w:eastAsia="仿宋" w:cs="Arial"/>
                <w:color w:val="000000" w:themeColor="text1"/>
                <w:kern w:val="0"/>
                <w:sz w:val="22"/>
                <w:szCs w:val="22"/>
                <w14:textFill>
                  <w14:solidFill>
                    <w14:schemeClr w14:val="tx1"/>
                  </w14:solidFill>
                </w14:textFill>
              </w:rPr>
              <w:t>0Kg及以上；</w:t>
            </w:r>
          </w:p>
          <w:p>
            <w:pPr>
              <w:widowControl/>
              <w:snapToGrid w:val="0"/>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自带驱动器和编码器，能够实现与工控机的直连控制。</w:t>
            </w:r>
          </w:p>
        </w:tc>
        <w:tc>
          <w:tcPr>
            <w:tcW w:w="840" w:type="dxa"/>
            <w:shd w:val="clear" w:color="000000"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个</w:t>
            </w:r>
          </w:p>
        </w:tc>
        <w:tc>
          <w:tcPr>
            <w:tcW w:w="735" w:type="dxa"/>
            <w:shd w:val="clear" w:color="000000"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ascii="仿宋" w:hAnsi="仿宋" w:eastAsia="仿宋" w:cs="Arial"/>
                <w:color w:val="000000" w:themeColor="text1"/>
                <w:kern w:val="0"/>
                <w:sz w:val="22"/>
                <w:szCs w:val="22"/>
                <w14:textFill>
                  <w14:solidFill>
                    <w14:schemeClr w14:val="tx1"/>
                  </w14:solidFill>
                </w14:textFill>
              </w:rPr>
              <w:t>4</w:t>
            </w:r>
          </w:p>
        </w:tc>
        <w:tc>
          <w:tcPr>
            <w:tcW w:w="1335" w:type="dxa"/>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合同签订后六个月内</w:t>
            </w:r>
          </w:p>
        </w:tc>
        <w:tc>
          <w:tcPr>
            <w:tcW w:w="99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1635" w:type="dxa"/>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买方指定仓库地面交货</w:t>
            </w:r>
          </w:p>
        </w:tc>
        <w:tc>
          <w:tcPr>
            <w:tcW w:w="1035" w:type="dxa"/>
            <w:vMerge w:val="restart"/>
            <w:shd w:val="clear" w:color="auto" w:fill="auto"/>
            <w:vAlign w:val="center"/>
          </w:tcPr>
          <w:p>
            <w:pPr>
              <w:widowControl/>
              <w:jc w:val="center"/>
              <w:rPr>
                <w:rFonts w:hint="default"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0.57</w:t>
            </w:r>
          </w:p>
        </w:tc>
        <w:tc>
          <w:tcPr>
            <w:tcW w:w="1680" w:type="dxa"/>
            <w:vMerge w:val="restart"/>
            <w:shd w:val="clear" w:color="auto" w:fill="auto"/>
            <w:vAlign w:val="center"/>
          </w:tcPr>
          <w:p>
            <w:pPr>
              <w:widowControl/>
              <w:jc w:val="center"/>
              <w:rPr>
                <w:rFonts w:hint="eastAsia"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1、厂商要求：</w:t>
            </w:r>
            <w:r>
              <w:rPr>
                <w:rFonts w:hint="eastAsia" w:ascii="仿宋" w:hAnsi="仿宋" w:eastAsia="仿宋" w:cs="宋体"/>
                <w:color w:val="000000" w:themeColor="text1"/>
                <w:kern w:val="0"/>
                <w:sz w:val="22"/>
                <w:szCs w:val="22"/>
                <w14:textFill>
                  <w14:solidFill>
                    <w14:schemeClr w14:val="tx1"/>
                  </w14:solidFill>
                </w14:textFill>
              </w:rPr>
              <w:t>制造商或集货商，应答人应具有独立订立合同的法人资格。</w:t>
            </w:r>
            <w:r>
              <w:rPr>
                <w:rFonts w:hint="eastAsia" w:ascii="仿宋" w:hAnsi="仿宋" w:eastAsia="仿宋" w:cs="宋体"/>
                <w:color w:val="000000" w:themeColor="text1"/>
                <w:kern w:val="0"/>
                <w:sz w:val="22"/>
                <w:szCs w:val="22"/>
                <w:lang w:val="en-US" w:eastAsia="zh-CN"/>
                <w14:textFill>
                  <w14:solidFill>
                    <w14:schemeClr w14:val="tx1"/>
                  </w14:solidFill>
                </w14:textFill>
              </w:rPr>
              <w:t>2、认证证书：</w:t>
            </w:r>
            <w:r>
              <w:rPr>
                <w:rFonts w:hint="eastAsia" w:ascii="仿宋" w:hAnsi="仿宋" w:eastAsia="仿宋" w:cs="宋体"/>
                <w:color w:val="000000" w:themeColor="text1"/>
                <w:kern w:val="0"/>
                <w:sz w:val="22"/>
                <w:szCs w:val="22"/>
                <w14:textFill>
                  <w14:solidFill>
                    <w14:schemeClr w14:val="tx1"/>
                  </w14:solidFill>
                </w14:textFill>
              </w:rPr>
              <w:t>制造商、集货商提供有效的ISO9000系列质量保证体系认证证书</w:t>
            </w:r>
            <w:r>
              <w:rPr>
                <w:rFonts w:hint="eastAsia" w:ascii="仿宋" w:hAnsi="仿宋" w:eastAsia="仿宋" w:cs="宋体"/>
                <w:color w:val="000000" w:themeColor="text1"/>
                <w:kern w:val="0"/>
                <w:sz w:val="22"/>
                <w:szCs w:val="22"/>
                <w:lang w:eastAsia="zh-CN"/>
                <w14:textFill>
                  <w14:solidFill>
                    <w14:schemeClr w14:val="tx1"/>
                  </w14:solidFill>
                </w14:textFill>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101" w:type="dxa"/>
            <w:vMerge w:val="continue"/>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162" w:type="dxa"/>
            <w:shd w:val="clear" w:color="auto" w:fill="auto"/>
            <w:vAlign w:val="center"/>
          </w:tcPr>
          <w:p>
            <w:pPr>
              <w:snapToGrid w:val="0"/>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异物探测器</w:t>
            </w:r>
          </w:p>
        </w:tc>
        <w:tc>
          <w:tcPr>
            <w:tcW w:w="4082" w:type="dxa"/>
            <w:shd w:val="clear" w:color="auto" w:fill="auto"/>
            <w:vAlign w:val="center"/>
          </w:tcPr>
          <w:p>
            <w:pPr>
              <w:widowControl/>
              <w:snapToGrid w:val="0"/>
              <w:rPr>
                <w:rFonts w:ascii="仿宋" w:hAnsi="仿宋" w:eastAsia="仿宋" w:cs="Arial"/>
                <w:color w:val="000000" w:themeColor="text1"/>
                <w:kern w:val="0"/>
                <w:sz w:val="22"/>
                <w:szCs w:val="22"/>
                <w:highlight w:val="yellow"/>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能够对巡检区域的异物进行识别和报警，包括工具车及各类杂物等。探测距离不低于5米，识别物体类型不低于3种。</w:t>
            </w:r>
          </w:p>
        </w:tc>
        <w:tc>
          <w:tcPr>
            <w:tcW w:w="840" w:type="dxa"/>
            <w:shd w:val="clear" w:color="000000"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个</w:t>
            </w:r>
          </w:p>
        </w:tc>
        <w:tc>
          <w:tcPr>
            <w:tcW w:w="735" w:type="dxa"/>
            <w:shd w:val="clear" w:color="000000"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ascii="仿宋" w:hAnsi="仿宋" w:eastAsia="仿宋" w:cs="Arial"/>
                <w:color w:val="000000" w:themeColor="text1"/>
                <w:kern w:val="0"/>
                <w:sz w:val="22"/>
                <w:szCs w:val="22"/>
                <w14:textFill>
                  <w14:solidFill>
                    <w14:schemeClr w14:val="tx1"/>
                  </w14:solidFill>
                </w14:textFill>
              </w:rPr>
              <w:t>1</w:t>
            </w:r>
          </w:p>
        </w:tc>
        <w:tc>
          <w:tcPr>
            <w:tcW w:w="1335" w:type="dxa"/>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合同签订后六个月内</w:t>
            </w:r>
          </w:p>
        </w:tc>
        <w:tc>
          <w:tcPr>
            <w:tcW w:w="99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1635" w:type="dxa"/>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买方指定仓库地面交货</w:t>
            </w:r>
          </w:p>
        </w:tc>
        <w:tc>
          <w:tcPr>
            <w:tcW w:w="1035" w:type="dxa"/>
            <w:vMerge w:val="continue"/>
            <w:tcBorders/>
            <w:shd w:val="clear" w:color="auto" w:fill="auto"/>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1680" w:type="dxa"/>
            <w:vMerge w:val="continue"/>
            <w:tcBorders/>
            <w:shd w:val="clear" w:color="auto" w:fill="auto"/>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101" w:type="dxa"/>
            <w:vMerge w:val="continue"/>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162" w:type="dxa"/>
            <w:shd w:val="clear" w:color="auto" w:fill="auto"/>
            <w:vAlign w:val="center"/>
          </w:tcPr>
          <w:p>
            <w:pPr>
              <w:snapToGrid w:val="0"/>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设备盘查及变动检测装置</w:t>
            </w:r>
          </w:p>
        </w:tc>
        <w:tc>
          <w:tcPr>
            <w:tcW w:w="4082" w:type="dxa"/>
            <w:shd w:val="clear" w:color="auto" w:fill="auto"/>
            <w:vAlign w:val="center"/>
          </w:tcPr>
          <w:p>
            <w:pPr>
              <w:widowControl/>
              <w:snapToGrid w:val="0"/>
              <w:rPr>
                <w:rFonts w:ascii="仿宋" w:hAnsi="仿宋" w:eastAsia="仿宋" w:cs="Arial"/>
                <w:color w:val="000000" w:themeColor="text1"/>
                <w:kern w:val="0"/>
                <w:sz w:val="22"/>
                <w:szCs w:val="22"/>
                <w:highlight w:val="yellow"/>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能够检测设备的数量、位置、名称及型号等，检测设备种类不低于1</w:t>
            </w:r>
            <w:r>
              <w:rPr>
                <w:rFonts w:ascii="仿宋" w:hAnsi="仿宋" w:eastAsia="仿宋" w:cs="Arial"/>
                <w:color w:val="000000" w:themeColor="text1"/>
                <w:kern w:val="0"/>
                <w:sz w:val="22"/>
                <w:szCs w:val="22"/>
                <w14:textFill>
                  <w14:solidFill>
                    <w14:schemeClr w14:val="tx1"/>
                  </w14:solidFill>
                </w14:textFill>
              </w:rPr>
              <w:t>0</w:t>
            </w:r>
            <w:r>
              <w:rPr>
                <w:rFonts w:hint="eastAsia" w:ascii="仿宋" w:hAnsi="仿宋" w:eastAsia="仿宋" w:cs="Arial"/>
                <w:color w:val="000000" w:themeColor="text1"/>
                <w:kern w:val="0"/>
                <w:sz w:val="22"/>
                <w:szCs w:val="22"/>
                <w14:textFill>
                  <w14:solidFill>
                    <w14:schemeClr w14:val="tx1"/>
                  </w14:solidFill>
                </w14:textFill>
              </w:rPr>
              <w:t>种，检测设备数量不低于1万台。</w:t>
            </w:r>
          </w:p>
        </w:tc>
        <w:tc>
          <w:tcPr>
            <w:tcW w:w="840" w:type="dxa"/>
            <w:shd w:val="clear" w:color="000000"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个</w:t>
            </w:r>
          </w:p>
        </w:tc>
        <w:tc>
          <w:tcPr>
            <w:tcW w:w="735" w:type="dxa"/>
            <w:shd w:val="clear" w:color="000000"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ascii="仿宋" w:hAnsi="仿宋" w:eastAsia="仿宋" w:cs="Arial"/>
                <w:color w:val="000000" w:themeColor="text1"/>
                <w:kern w:val="0"/>
                <w:sz w:val="22"/>
                <w:szCs w:val="22"/>
                <w14:textFill>
                  <w14:solidFill>
                    <w14:schemeClr w14:val="tx1"/>
                  </w14:solidFill>
                </w14:textFill>
              </w:rPr>
              <w:t>1</w:t>
            </w:r>
          </w:p>
        </w:tc>
        <w:tc>
          <w:tcPr>
            <w:tcW w:w="1335" w:type="dxa"/>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合同签订后六个月内</w:t>
            </w:r>
          </w:p>
        </w:tc>
        <w:tc>
          <w:tcPr>
            <w:tcW w:w="99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1635" w:type="dxa"/>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买方指定仓库地面交货</w:t>
            </w:r>
          </w:p>
        </w:tc>
        <w:tc>
          <w:tcPr>
            <w:tcW w:w="1035" w:type="dxa"/>
            <w:vMerge w:val="continue"/>
            <w:tcBorders/>
            <w:shd w:val="clear" w:color="auto" w:fill="auto"/>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1680" w:type="dxa"/>
            <w:vMerge w:val="continue"/>
            <w:tcBorders/>
            <w:shd w:val="clear" w:color="auto" w:fill="auto"/>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101" w:type="dxa"/>
            <w:vMerge w:val="continue"/>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162" w:type="dxa"/>
            <w:shd w:val="clear" w:color="auto" w:fill="auto"/>
            <w:vAlign w:val="center"/>
          </w:tcPr>
          <w:p>
            <w:pPr>
              <w:snapToGrid w:val="0"/>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IMU陀螺仪模块</w:t>
            </w:r>
          </w:p>
        </w:tc>
        <w:tc>
          <w:tcPr>
            <w:tcW w:w="4082" w:type="dxa"/>
            <w:shd w:val="clear" w:color="auto" w:fill="auto"/>
            <w:vAlign w:val="center"/>
          </w:tcPr>
          <w:p>
            <w:pPr>
              <w:widowControl/>
              <w:snapToGrid w:val="0"/>
              <w:jc w:val="left"/>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防电磁辐射；</w:t>
            </w:r>
          </w:p>
          <w:p>
            <w:pPr>
              <w:widowControl/>
              <w:snapToGrid w:val="0"/>
              <w:jc w:val="left"/>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室内、室外均可应用；</w:t>
            </w:r>
          </w:p>
          <w:p>
            <w:pPr>
              <w:widowControl/>
              <w:snapToGrid w:val="0"/>
              <w:jc w:val="left"/>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能够获取经纬度信息；</w:t>
            </w:r>
          </w:p>
          <w:p>
            <w:pPr>
              <w:widowControl/>
              <w:snapToGrid w:val="0"/>
              <w:jc w:val="left"/>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转角精度小于0.</w:t>
            </w:r>
            <w:r>
              <w:rPr>
                <w:rFonts w:ascii="仿宋" w:hAnsi="仿宋" w:eastAsia="仿宋" w:cs="Arial"/>
                <w:color w:val="000000" w:themeColor="text1"/>
                <w:kern w:val="0"/>
                <w:sz w:val="22"/>
                <w:szCs w:val="22"/>
                <w14:textFill>
                  <w14:solidFill>
                    <w14:schemeClr w14:val="tx1"/>
                  </w14:solidFill>
                </w14:textFill>
              </w:rPr>
              <w:t>1</w:t>
            </w:r>
            <w:r>
              <w:rPr>
                <w:rFonts w:hint="eastAsia" w:ascii="仿宋" w:hAnsi="仿宋" w:eastAsia="仿宋" w:cs="Arial"/>
                <w:color w:val="000000" w:themeColor="text1"/>
                <w:kern w:val="0"/>
                <w:sz w:val="22"/>
                <w:szCs w:val="22"/>
                <w14:textFill>
                  <w14:solidFill>
                    <w14:schemeClr w14:val="tx1"/>
                  </w14:solidFill>
                </w14:textFill>
              </w:rPr>
              <w:t>°。</w:t>
            </w:r>
          </w:p>
        </w:tc>
        <w:tc>
          <w:tcPr>
            <w:tcW w:w="840" w:type="dxa"/>
            <w:shd w:val="clear" w:color="000000"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个</w:t>
            </w:r>
          </w:p>
        </w:tc>
        <w:tc>
          <w:tcPr>
            <w:tcW w:w="735" w:type="dxa"/>
            <w:shd w:val="clear" w:color="000000"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ascii="仿宋" w:hAnsi="仿宋" w:eastAsia="仿宋" w:cs="Arial"/>
                <w:color w:val="000000" w:themeColor="text1"/>
                <w:kern w:val="0"/>
                <w:sz w:val="22"/>
                <w:szCs w:val="22"/>
                <w14:textFill>
                  <w14:solidFill>
                    <w14:schemeClr w14:val="tx1"/>
                  </w14:solidFill>
                </w14:textFill>
              </w:rPr>
              <w:t>1</w:t>
            </w:r>
          </w:p>
        </w:tc>
        <w:tc>
          <w:tcPr>
            <w:tcW w:w="1335" w:type="dxa"/>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合同签订后六个月内</w:t>
            </w:r>
          </w:p>
        </w:tc>
        <w:tc>
          <w:tcPr>
            <w:tcW w:w="99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1635" w:type="dxa"/>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买方指定仓库地面交货</w:t>
            </w:r>
          </w:p>
        </w:tc>
        <w:tc>
          <w:tcPr>
            <w:tcW w:w="1035" w:type="dxa"/>
            <w:vMerge w:val="continue"/>
            <w:tcBorders/>
            <w:shd w:val="clear" w:color="auto" w:fill="auto"/>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1680" w:type="dxa"/>
            <w:vMerge w:val="continue"/>
            <w:tcBorders/>
            <w:shd w:val="clear" w:color="auto" w:fill="auto"/>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101" w:type="dxa"/>
            <w:vMerge w:val="continue"/>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162" w:type="dxa"/>
            <w:shd w:val="clear" w:color="auto" w:fill="auto"/>
            <w:vAlign w:val="center"/>
          </w:tcPr>
          <w:p>
            <w:pPr>
              <w:snapToGrid w:val="0"/>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动力锂离子电池</w:t>
            </w:r>
          </w:p>
        </w:tc>
        <w:tc>
          <w:tcPr>
            <w:tcW w:w="4082" w:type="dxa"/>
            <w:shd w:val="clear" w:color="auto" w:fill="auto"/>
            <w:vAlign w:val="center"/>
          </w:tcPr>
          <w:p>
            <w:pPr>
              <w:widowControl/>
              <w:snapToGrid w:val="0"/>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能够支撑5</w:t>
            </w:r>
            <w:r>
              <w:rPr>
                <w:rFonts w:ascii="仿宋" w:hAnsi="仿宋" w:eastAsia="仿宋" w:cs="Arial"/>
                <w:color w:val="000000" w:themeColor="text1"/>
                <w:kern w:val="0"/>
                <w:sz w:val="22"/>
                <w:szCs w:val="22"/>
                <w14:textFill>
                  <w14:solidFill>
                    <w14:schemeClr w14:val="tx1"/>
                  </w14:solidFill>
                </w14:textFill>
              </w:rPr>
              <w:t>00</w:t>
            </w:r>
            <w:r>
              <w:rPr>
                <w:rFonts w:hint="eastAsia" w:ascii="仿宋" w:hAnsi="仿宋" w:eastAsia="仿宋" w:cs="Arial"/>
                <w:color w:val="000000" w:themeColor="text1"/>
                <w:kern w:val="0"/>
                <w:sz w:val="22"/>
                <w:szCs w:val="22"/>
                <w14:textFill>
                  <w14:solidFill>
                    <w14:schemeClr w14:val="tx1"/>
                  </w14:solidFill>
                </w14:textFill>
              </w:rPr>
              <w:t>w以上设备组1</w:t>
            </w:r>
            <w:r>
              <w:rPr>
                <w:rFonts w:ascii="仿宋" w:hAnsi="仿宋" w:eastAsia="仿宋" w:cs="Arial"/>
                <w:color w:val="000000" w:themeColor="text1"/>
                <w:kern w:val="0"/>
                <w:sz w:val="22"/>
                <w:szCs w:val="22"/>
                <w14:textFill>
                  <w14:solidFill>
                    <w14:schemeClr w14:val="tx1"/>
                  </w14:solidFill>
                </w14:textFill>
              </w:rPr>
              <w:t>2</w:t>
            </w:r>
            <w:r>
              <w:rPr>
                <w:rFonts w:hint="eastAsia" w:ascii="仿宋" w:hAnsi="仿宋" w:eastAsia="仿宋" w:cs="Arial"/>
                <w:color w:val="000000" w:themeColor="text1"/>
                <w:kern w:val="0"/>
                <w:sz w:val="22"/>
                <w:szCs w:val="22"/>
                <w14:textFill>
                  <w14:solidFill>
                    <w14:schemeClr w14:val="tx1"/>
                  </w14:solidFill>
                </w14:textFill>
              </w:rPr>
              <w:t>小时以上的运行；</w:t>
            </w:r>
          </w:p>
          <w:p>
            <w:pPr>
              <w:widowControl/>
              <w:snapToGrid w:val="0"/>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产品内置过充保护、过放保护、过流保护、短路保护、过温保护、电量均衡、SOC 电量及RS232 通信等功能。</w:t>
            </w:r>
          </w:p>
        </w:tc>
        <w:tc>
          <w:tcPr>
            <w:tcW w:w="840" w:type="dxa"/>
            <w:shd w:val="clear" w:color="000000"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块</w:t>
            </w:r>
          </w:p>
        </w:tc>
        <w:tc>
          <w:tcPr>
            <w:tcW w:w="735" w:type="dxa"/>
            <w:shd w:val="clear" w:color="000000"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ascii="仿宋" w:hAnsi="仿宋" w:eastAsia="仿宋" w:cs="Arial"/>
                <w:color w:val="000000" w:themeColor="text1"/>
                <w:kern w:val="0"/>
                <w:sz w:val="22"/>
                <w:szCs w:val="22"/>
                <w14:textFill>
                  <w14:solidFill>
                    <w14:schemeClr w14:val="tx1"/>
                  </w14:solidFill>
                </w14:textFill>
              </w:rPr>
              <w:t>1</w:t>
            </w:r>
          </w:p>
        </w:tc>
        <w:tc>
          <w:tcPr>
            <w:tcW w:w="1335" w:type="dxa"/>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合同签订后六个月内</w:t>
            </w:r>
          </w:p>
        </w:tc>
        <w:tc>
          <w:tcPr>
            <w:tcW w:w="99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1635" w:type="dxa"/>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买方指定仓库地面交货</w:t>
            </w:r>
          </w:p>
        </w:tc>
        <w:tc>
          <w:tcPr>
            <w:tcW w:w="1035" w:type="dxa"/>
            <w:vMerge w:val="continue"/>
            <w:tcBorders/>
            <w:shd w:val="clear" w:color="auto" w:fill="auto"/>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1680" w:type="dxa"/>
            <w:vMerge w:val="continue"/>
            <w:tcBorders/>
            <w:shd w:val="clear" w:color="auto" w:fill="auto"/>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r>
    </w:tbl>
    <w:p>
      <w:pPr>
        <w:rPr>
          <w:rFonts w:hint="eastAsia"/>
          <w:lang w:val="en-US" w:eastAsia="zh-CN"/>
        </w:rPr>
      </w:pPr>
      <w:r>
        <w:rPr>
          <w:rFonts w:hint="eastAsia" w:ascii="方正仿宋_GBK" w:hAnsi="方正仿宋_GBK" w:eastAsia="方正仿宋_GBK" w:cs="方正仿宋_GBK"/>
          <w:sz w:val="28"/>
          <w:szCs w:val="28"/>
          <w:lang w:val="en-US" w:eastAsia="zh-CN"/>
        </w:rPr>
        <w:t>具体供货不局限于上述产品。应包括上述产品相关配件，类似升级产品。</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C51F0"/>
    <w:rsid w:val="13BE6865"/>
    <w:rsid w:val="1D9A7C5A"/>
    <w:rsid w:val="24715047"/>
    <w:rsid w:val="294321E5"/>
    <w:rsid w:val="33802A96"/>
    <w:rsid w:val="4CF110AF"/>
    <w:rsid w:val="5E59267D"/>
    <w:rsid w:val="5F0B2717"/>
    <w:rsid w:val="7562399D"/>
    <w:rsid w:val="757A6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851392529</cp:lastModifiedBy>
  <dcterms:modified xsi:type="dcterms:W3CDTF">2019-07-10T09:28:24Z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