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r>
        <w:rPr>
          <w:rFonts w:hint="eastAsia" w:ascii="方正仿宋_GBK" w:hAnsi="方正仿宋_GBK" w:eastAsia="方正仿宋_GBK" w:cs="方正仿宋_GBK"/>
          <w:sz w:val="28"/>
          <w:szCs w:val="28"/>
          <w:lang w:eastAsia="zh-CN"/>
        </w:rPr>
        <w:t>项目名称：山东鲁能智能技术有限公司信通机房自动化巡检关键技术研究物资采购项目</w:t>
      </w:r>
    </w:p>
    <w:p>
      <w:pPr>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项目编号：LN19W2-0710-JY-WZDXJT-SY07</w:t>
      </w:r>
    </w:p>
    <w:p>
      <w:pPr>
        <w:jc w:val="center"/>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货物需求一览表</w:t>
      </w:r>
    </w:p>
    <w:tbl>
      <w:tblPr>
        <w:tblStyle w:val="3"/>
        <w:tblW w:w="14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162"/>
        <w:gridCol w:w="4650"/>
        <w:gridCol w:w="720"/>
        <w:gridCol w:w="750"/>
        <w:gridCol w:w="1065"/>
        <w:gridCol w:w="900"/>
        <w:gridCol w:w="1350"/>
        <w:gridCol w:w="1125"/>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103"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项目</w:t>
            </w:r>
          </w:p>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名称</w:t>
            </w:r>
          </w:p>
        </w:tc>
        <w:tc>
          <w:tcPr>
            <w:tcW w:w="1162" w:type="dxa"/>
            <w:shd w:val="clear" w:color="auto" w:fill="auto"/>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物资名称</w:t>
            </w:r>
          </w:p>
        </w:tc>
        <w:tc>
          <w:tcPr>
            <w:tcW w:w="4650" w:type="dxa"/>
            <w:tcBorders>
              <w:bottom w:val="single" w:color="auto" w:sz="4" w:space="0"/>
            </w:tcBorders>
            <w:shd w:val="clear" w:color="auto" w:fill="auto"/>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主要技术要求</w:t>
            </w:r>
          </w:p>
        </w:tc>
        <w:tc>
          <w:tcPr>
            <w:tcW w:w="720" w:type="dxa"/>
            <w:tcBorders>
              <w:bottom w:val="single" w:color="auto" w:sz="4" w:space="0"/>
            </w:tcBorders>
            <w:shd w:val="clear" w:color="auto" w:fill="auto"/>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单位</w:t>
            </w:r>
          </w:p>
        </w:tc>
        <w:tc>
          <w:tcPr>
            <w:tcW w:w="750" w:type="dxa"/>
            <w:tcBorders>
              <w:bottom w:val="single" w:color="auto" w:sz="4" w:space="0"/>
            </w:tcBorders>
            <w:shd w:val="clear" w:color="auto" w:fill="auto"/>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数量</w:t>
            </w:r>
          </w:p>
        </w:tc>
        <w:tc>
          <w:tcPr>
            <w:tcW w:w="1065" w:type="dxa"/>
            <w:shd w:val="clear" w:color="auto" w:fill="auto"/>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交货日期</w:t>
            </w:r>
          </w:p>
        </w:tc>
        <w:tc>
          <w:tcPr>
            <w:tcW w:w="900"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质保期</w:t>
            </w:r>
          </w:p>
        </w:tc>
        <w:tc>
          <w:tcPr>
            <w:tcW w:w="1350" w:type="dxa"/>
            <w:shd w:val="clear" w:color="auto" w:fill="auto"/>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交货地点</w:t>
            </w:r>
          </w:p>
        </w:tc>
        <w:tc>
          <w:tcPr>
            <w:tcW w:w="1125" w:type="dxa"/>
            <w:shd w:val="clear" w:color="auto" w:fill="auto"/>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保证金</w:t>
            </w:r>
          </w:p>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（万元）</w:t>
            </w:r>
          </w:p>
        </w:tc>
        <w:tc>
          <w:tcPr>
            <w:tcW w:w="1245" w:type="dxa"/>
            <w:shd w:val="clear" w:color="auto" w:fill="auto"/>
            <w:vAlign w:val="center"/>
          </w:tcPr>
          <w:p>
            <w:pPr>
              <w:widowControl/>
              <w:jc w:val="center"/>
              <w:rPr>
                <w:rFonts w:hint="eastAsia" w:ascii="仿宋" w:hAnsi="仿宋" w:eastAsia="仿宋" w:cs="Arial"/>
                <w:b/>
                <w:bCs/>
                <w:color w:val="000000" w:themeColor="text1"/>
                <w:kern w:val="0"/>
                <w:sz w:val="22"/>
                <w:szCs w:val="22"/>
                <w:lang w:eastAsia="zh-CN"/>
                <w14:textFill>
                  <w14:solidFill>
                    <w14:schemeClr w14:val="tx1"/>
                  </w14:solidFill>
                </w14:textFill>
              </w:rPr>
            </w:pPr>
            <w:r>
              <w:rPr>
                <w:rFonts w:hint="eastAsia" w:ascii="仿宋" w:hAnsi="仿宋" w:eastAsia="仿宋" w:cs="Arial"/>
                <w:b/>
                <w:bCs/>
                <w:color w:val="000000" w:themeColor="text1"/>
                <w:kern w:val="0"/>
                <w:sz w:val="22"/>
                <w:szCs w:val="22"/>
                <w:lang w:eastAsia="zh-CN"/>
                <w14:textFill>
                  <w14:solidFill>
                    <w14:schemeClr w14:val="tx1"/>
                  </w14:solidFill>
                </w14:textFill>
              </w:rPr>
              <w:t>专用资质要求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103" w:type="dxa"/>
            <w:vMerge w:val="restart"/>
            <w:vAlign w:val="center"/>
          </w:tcPr>
          <w:p>
            <w:pPr>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kern w:val="0"/>
                <w:sz w:val="24"/>
                <w:szCs w:val="24"/>
              </w:rPr>
              <w:t>信通机房自动化巡检关键技术研究物资采购项目</w:t>
            </w:r>
          </w:p>
        </w:tc>
        <w:tc>
          <w:tcPr>
            <w:tcW w:w="1162" w:type="dxa"/>
            <w:shd w:val="clear" w:color="auto" w:fill="auto"/>
            <w:vAlign w:val="center"/>
          </w:tcPr>
          <w:p>
            <w:pPr>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机房设备多功能检测探头</w:t>
            </w:r>
          </w:p>
        </w:tc>
        <w:tc>
          <w:tcPr>
            <w:tcW w:w="4650" w:type="dxa"/>
            <w:shd w:val="clear" w:color="auto" w:fill="auto"/>
            <w:vAlign w:val="center"/>
          </w:tcPr>
          <w:p>
            <w:pPr>
              <w:widowControl/>
              <w:snapToGrid w:val="0"/>
              <w:jc w:val="left"/>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1、能够准确识别机房设备的异常声响，</w:t>
            </w:r>
            <w:r>
              <w:rPr>
                <w:rFonts w:hint="eastAsia" w:ascii="仿宋" w:hAnsi="仿宋" w:eastAsia="仿宋" w:cs="Arial"/>
                <w:color w:val="000000" w:themeColor="text1"/>
                <w:kern w:val="0"/>
                <w:sz w:val="22"/>
                <w:szCs w:val="22"/>
                <w14:textFill>
                  <w14:solidFill>
                    <w14:schemeClr w14:val="tx1"/>
                  </w14:solidFill>
                </w14:textFill>
              </w:rPr>
              <w:tab/>
            </w:r>
            <w:r>
              <w:rPr>
                <w:rFonts w:hint="eastAsia" w:ascii="仿宋" w:hAnsi="仿宋" w:eastAsia="仿宋" w:cs="Arial"/>
                <w:color w:val="000000" w:themeColor="text1"/>
                <w:kern w:val="0"/>
                <w:sz w:val="22"/>
                <w:szCs w:val="22"/>
                <w14:textFill>
                  <w14:solidFill>
                    <w14:schemeClr w14:val="tx1"/>
                  </w14:solidFill>
                </w14:textFill>
              </w:rPr>
              <w:t>拾音设备灵敏度不小于-40dB；</w:t>
            </w:r>
          </w:p>
          <w:p>
            <w:pPr>
              <w:widowControl/>
              <w:snapToGrid w:val="0"/>
              <w:jc w:val="left"/>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2、精准检测设备周边温度，测量误差±2℃；</w:t>
            </w:r>
          </w:p>
          <w:p>
            <w:pPr>
              <w:widowControl/>
              <w:snapToGrid w:val="0"/>
              <w:jc w:val="left"/>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ab/>
            </w:r>
            <w:r>
              <w:rPr>
                <w:rFonts w:ascii="仿宋" w:hAnsi="仿宋" w:eastAsia="仿宋" w:cs="Arial"/>
                <w:color w:val="000000" w:themeColor="text1"/>
                <w:kern w:val="0"/>
                <w:sz w:val="22"/>
                <w:szCs w:val="22"/>
                <w14:textFill>
                  <w14:solidFill>
                    <w14:schemeClr w14:val="tx1"/>
                  </w14:solidFill>
                </w14:textFill>
              </w:rPr>
              <w:t>3、</w:t>
            </w:r>
            <w:r>
              <w:rPr>
                <w:rFonts w:hint="eastAsia" w:ascii="仿宋" w:hAnsi="仿宋" w:eastAsia="仿宋" w:cs="Arial"/>
                <w:color w:val="000000" w:themeColor="text1"/>
                <w:kern w:val="0"/>
                <w:sz w:val="22"/>
                <w:szCs w:val="22"/>
                <w14:textFill>
                  <w14:solidFill>
                    <w14:schemeClr w14:val="tx1"/>
                  </w14:solidFill>
                </w14:textFill>
              </w:rPr>
              <w:t>精准检测设备周边湿度，测量误差±2%；</w:t>
            </w:r>
          </w:p>
          <w:p>
            <w:pPr>
              <w:widowControl/>
              <w:snapToGrid w:val="0"/>
              <w:jc w:val="left"/>
              <w:rPr>
                <w:rFonts w:ascii="仿宋" w:hAnsi="仿宋" w:eastAsia="仿宋" w:cs="Arial"/>
                <w:color w:val="000000" w:themeColor="text1"/>
                <w:kern w:val="0"/>
                <w:sz w:val="22"/>
                <w:szCs w:val="22"/>
                <w14:textFill>
                  <w14:solidFill>
                    <w14:schemeClr w14:val="tx1"/>
                  </w14:solidFill>
                </w14:textFill>
              </w:rPr>
            </w:pPr>
            <w:r>
              <w:rPr>
                <w:rFonts w:ascii="仿宋" w:hAnsi="仿宋" w:eastAsia="仿宋" w:cs="Arial"/>
                <w:color w:val="000000" w:themeColor="text1"/>
                <w:kern w:val="0"/>
                <w:sz w:val="22"/>
                <w:szCs w:val="22"/>
                <w14:textFill>
                  <w14:solidFill>
                    <w14:schemeClr w14:val="tx1"/>
                  </w14:solidFill>
                </w14:textFill>
              </w:rPr>
              <w:t>4、</w:t>
            </w:r>
            <w:r>
              <w:rPr>
                <w:rFonts w:hint="eastAsia" w:ascii="仿宋" w:hAnsi="仿宋" w:eastAsia="仿宋" w:cs="Arial"/>
                <w:color w:val="000000" w:themeColor="text1"/>
                <w:kern w:val="0"/>
                <w:sz w:val="22"/>
                <w:szCs w:val="22"/>
                <w14:textFill>
                  <w14:solidFill>
                    <w14:schemeClr w14:val="tx1"/>
                  </w14:solidFill>
                </w14:textFill>
              </w:rPr>
              <w:t>精准检测设备周边烟雾浓度，测量误差±2%；</w:t>
            </w:r>
          </w:p>
          <w:p>
            <w:pPr>
              <w:widowControl/>
              <w:snapToGrid w:val="0"/>
              <w:jc w:val="left"/>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5、精准检测设备周边异味气体，响应时间≤30s；</w:t>
            </w:r>
          </w:p>
          <w:p>
            <w:pPr>
              <w:widowControl/>
              <w:snapToGrid w:val="0"/>
              <w:jc w:val="left"/>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6、</w:t>
            </w:r>
            <w:r>
              <w:rPr>
                <w:rFonts w:hint="eastAsia" w:ascii="仿宋" w:hAnsi="仿宋" w:eastAsia="仿宋"/>
                <w:color w:val="000000" w:themeColor="text1"/>
                <w:sz w:val="22"/>
                <w:szCs w:val="22"/>
                <w14:textFill>
                  <w14:solidFill>
                    <w14:schemeClr w14:val="tx1"/>
                  </w14:solidFill>
                </w14:textFill>
              </w:rPr>
              <w:t>精准获取机房设备的</w:t>
            </w:r>
            <w:r>
              <w:rPr>
                <w:rFonts w:hint="eastAsia" w:ascii="仿宋" w:hAnsi="仿宋" w:eastAsia="仿宋"/>
                <w:sz w:val="22"/>
                <w:szCs w:val="22"/>
              </w:rPr>
              <w:t>运行温度、IP地址、运行系统、设备状态。</w:t>
            </w:r>
          </w:p>
        </w:tc>
        <w:tc>
          <w:tcPr>
            <w:tcW w:w="720" w:type="dxa"/>
            <w:shd w:val="clear" w:color="000000" w:fill="auto"/>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个</w:t>
            </w:r>
          </w:p>
        </w:tc>
        <w:tc>
          <w:tcPr>
            <w:tcW w:w="750" w:type="dxa"/>
            <w:shd w:val="clear" w:color="000000" w:fill="auto"/>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1</w:t>
            </w:r>
          </w:p>
        </w:tc>
        <w:tc>
          <w:tcPr>
            <w:tcW w:w="1065" w:type="dxa"/>
            <w:shd w:val="clear" w:color="auto" w:fill="auto"/>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合同签订后六个月内</w:t>
            </w:r>
          </w:p>
        </w:tc>
        <w:tc>
          <w:tcPr>
            <w:tcW w:w="900" w:type="dxa"/>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1年</w:t>
            </w:r>
          </w:p>
        </w:tc>
        <w:tc>
          <w:tcPr>
            <w:tcW w:w="1350" w:type="dxa"/>
            <w:shd w:val="clear" w:color="auto" w:fill="auto"/>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买方指定仓库地面交货</w:t>
            </w:r>
          </w:p>
        </w:tc>
        <w:tc>
          <w:tcPr>
            <w:tcW w:w="1125" w:type="dxa"/>
            <w:vMerge w:val="restart"/>
            <w:shd w:val="clear" w:color="auto" w:fill="auto"/>
            <w:vAlign w:val="center"/>
          </w:tcPr>
          <w:p>
            <w:pPr>
              <w:widowControl/>
              <w:jc w:val="center"/>
              <w:rPr>
                <w:rFonts w:hint="default" w:ascii="仿宋" w:hAnsi="仿宋" w:eastAsia="仿宋" w:cs="Arial"/>
                <w:color w:val="000000" w:themeColor="text1"/>
                <w:kern w:val="0"/>
                <w:sz w:val="22"/>
                <w:szCs w:val="22"/>
                <w:lang w:val="en-US" w:eastAsia="zh-CN"/>
                <w14:textFill>
                  <w14:solidFill>
                    <w14:schemeClr w14:val="tx1"/>
                  </w14:solidFill>
                </w14:textFill>
              </w:rPr>
            </w:pPr>
            <w:r>
              <w:rPr>
                <w:rFonts w:hint="eastAsia" w:ascii="仿宋" w:hAnsi="仿宋" w:eastAsia="仿宋" w:cs="Arial"/>
                <w:color w:val="000000" w:themeColor="text1"/>
                <w:kern w:val="0"/>
                <w:sz w:val="22"/>
                <w:szCs w:val="22"/>
                <w:lang w:val="en-US" w:eastAsia="zh-CN"/>
                <w14:textFill>
                  <w14:solidFill>
                    <w14:schemeClr w14:val="tx1"/>
                  </w14:solidFill>
                </w14:textFill>
              </w:rPr>
              <w:t>0.9</w:t>
            </w:r>
          </w:p>
        </w:tc>
        <w:tc>
          <w:tcPr>
            <w:tcW w:w="1245" w:type="dxa"/>
            <w:vMerge w:val="restart"/>
            <w:shd w:val="clear" w:color="auto" w:fill="auto"/>
            <w:vAlign w:val="center"/>
          </w:tcPr>
          <w:p>
            <w:pPr>
              <w:widowControl/>
              <w:jc w:val="center"/>
              <w:rPr>
                <w:rFonts w:hint="eastAsia" w:ascii="仿宋" w:hAnsi="仿宋" w:eastAsia="仿宋" w:cs="Arial"/>
                <w:color w:val="000000" w:themeColor="text1"/>
                <w:kern w:val="0"/>
                <w:sz w:val="22"/>
                <w:szCs w:val="22"/>
                <w:lang w:val="en-US" w:eastAsia="zh-CN"/>
                <w14:textFill>
                  <w14:solidFill>
                    <w14:schemeClr w14:val="tx1"/>
                  </w14:solidFill>
                </w14:textFill>
              </w:rPr>
            </w:pPr>
            <w:r>
              <w:rPr>
                <w:rFonts w:hint="eastAsia" w:ascii="仿宋" w:hAnsi="仿宋" w:eastAsia="仿宋" w:cs="Arial"/>
                <w:color w:val="000000" w:themeColor="text1"/>
                <w:kern w:val="0"/>
                <w:sz w:val="22"/>
                <w:szCs w:val="22"/>
                <w:lang w:val="en-US" w:eastAsia="zh-CN"/>
                <w14:textFill>
                  <w14:solidFill>
                    <w14:schemeClr w14:val="tx1"/>
                  </w14:solidFill>
                </w14:textFill>
              </w:rPr>
              <w:t>1、厂商要求：</w:t>
            </w:r>
            <w:r>
              <w:rPr>
                <w:rFonts w:hint="eastAsia" w:ascii="仿宋" w:hAnsi="仿宋" w:eastAsia="仿宋" w:cs="宋体"/>
                <w:color w:val="000000" w:themeColor="text1"/>
                <w:kern w:val="0"/>
                <w:sz w:val="22"/>
                <w:szCs w:val="22"/>
                <w14:textFill>
                  <w14:solidFill>
                    <w14:schemeClr w14:val="tx1"/>
                  </w14:solidFill>
                </w14:textFill>
              </w:rPr>
              <w:t>制造商或集货商，应答人应具有独立订立合同的法人资格。</w:t>
            </w:r>
            <w:r>
              <w:rPr>
                <w:rFonts w:hint="eastAsia" w:ascii="仿宋" w:hAnsi="仿宋" w:eastAsia="仿宋" w:cs="宋体"/>
                <w:color w:val="000000" w:themeColor="text1"/>
                <w:kern w:val="0"/>
                <w:sz w:val="22"/>
                <w:szCs w:val="22"/>
                <w:lang w:val="en-US" w:eastAsia="zh-CN"/>
                <w14:textFill>
                  <w14:solidFill>
                    <w14:schemeClr w14:val="tx1"/>
                  </w14:solidFill>
                </w14:textFill>
              </w:rPr>
              <w:t>2、认证证书：</w:t>
            </w:r>
            <w:r>
              <w:rPr>
                <w:rFonts w:hint="eastAsia" w:ascii="仿宋" w:hAnsi="仿宋" w:eastAsia="仿宋" w:cs="宋体"/>
                <w:color w:val="000000" w:themeColor="text1"/>
                <w:kern w:val="0"/>
                <w:sz w:val="22"/>
                <w:szCs w:val="22"/>
                <w14:textFill>
                  <w14:solidFill>
                    <w14:schemeClr w14:val="tx1"/>
                  </w14:solidFill>
                </w14:textFill>
              </w:rPr>
              <w:t>制造商、集货商提供有效的ISO9000系列质量保证体系认证证书</w:t>
            </w:r>
            <w:r>
              <w:rPr>
                <w:rFonts w:hint="eastAsia" w:ascii="仿宋" w:hAnsi="仿宋" w:eastAsia="仿宋" w:cs="宋体"/>
                <w:color w:val="000000" w:themeColor="text1"/>
                <w:kern w:val="0"/>
                <w:sz w:val="22"/>
                <w:szCs w:val="22"/>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103" w:type="dxa"/>
            <w:vMerge w:val="continue"/>
          </w:tcPr>
          <w:p>
            <w:pPr>
              <w:widowControl/>
              <w:jc w:val="center"/>
              <w:rPr>
                <w:rFonts w:ascii="仿宋" w:hAnsi="仿宋" w:eastAsia="仿宋" w:cs="Arial"/>
                <w:color w:val="000000" w:themeColor="text1"/>
                <w:kern w:val="0"/>
                <w:sz w:val="22"/>
                <w:szCs w:val="22"/>
                <w14:textFill>
                  <w14:solidFill>
                    <w14:schemeClr w14:val="tx1"/>
                  </w14:solidFill>
                </w14:textFill>
              </w:rPr>
            </w:pPr>
          </w:p>
        </w:tc>
        <w:tc>
          <w:tcPr>
            <w:tcW w:w="1162" w:type="dxa"/>
            <w:shd w:val="clear" w:color="auto" w:fill="auto"/>
            <w:vAlign w:val="center"/>
          </w:tcPr>
          <w:p>
            <w:pPr>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柜体自动开关门装置</w:t>
            </w:r>
          </w:p>
        </w:tc>
        <w:tc>
          <w:tcPr>
            <w:tcW w:w="4650" w:type="dxa"/>
            <w:shd w:val="clear" w:color="auto" w:fill="auto"/>
            <w:vAlign w:val="center"/>
          </w:tcPr>
          <w:p>
            <w:pPr>
              <w:widowControl/>
              <w:snapToGrid w:val="0"/>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1、提供替代机柜单开门的机柜双开门；</w:t>
            </w:r>
          </w:p>
          <w:p>
            <w:pPr>
              <w:widowControl/>
              <w:snapToGrid w:val="0"/>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2、机柜门禁具备自适应性，能够满足各种机柜的安装要求；</w:t>
            </w:r>
            <w:r>
              <w:rPr>
                <w:rFonts w:ascii="仿宋" w:hAnsi="仿宋" w:eastAsia="仿宋" w:cs="Arial"/>
                <w:color w:val="000000" w:themeColor="text1"/>
                <w:kern w:val="0"/>
                <w:sz w:val="22"/>
                <w:szCs w:val="22"/>
                <w14:textFill>
                  <w14:solidFill>
                    <w14:schemeClr w14:val="tx1"/>
                  </w14:solidFill>
                </w14:textFill>
              </w:rPr>
              <w:t xml:space="preserve"> </w:t>
            </w:r>
          </w:p>
          <w:p>
            <w:pPr>
              <w:widowControl/>
              <w:snapToGrid w:val="0"/>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3、具备多机柜组网功能，组网机柜数不少于50个；</w:t>
            </w:r>
          </w:p>
          <w:p>
            <w:pPr>
              <w:widowControl/>
              <w:snapToGrid w:val="0"/>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4、具备与机器人联动开关门功能；</w:t>
            </w:r>
          </w:p>
          <w:p>
            <w:pPr>
              <w:widowControl/>
              <w:snapToGrid w:val="0"/>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5、具备手动开关门功能。</w:t>
            </w:r>
          </w:p>
        </w:tc>
        <w:tc>
          <w:tcPr>
            <w:tcW w:w="720" w:type="dxa"/>
            <w:shd w:val="clear" w:color="000000" w:fill="auto"/>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个</w:t>
            </w:r>
          </w:p>
        </w:tc>
        <w:tc>
          <w:tcPr>
            <w:tcW w:w="750" w:type="dxa"/>
            <w:shd w:val="clear" w:color="000000" w:fill="auto"/>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ascii="仿宋" w:hAnsi="仿宋" w:eastAsia="仿宋" w:cs="Arial"/>
                <w:color w:val="000000" w:themeColor="text1"/>
                <w:kern w:val="0"/>
                <w:sz w:val="22"/>
                <w:szCs w:val="22"/>
                <w14:textFill>
                  <w14:solidFill>
                    <w14:schemeClr w14:val="tx1"/>
                  </w14:solidFill>
                </w14:textFill>
              </w:rPr>
              <w:t>50</w:t>
            </w:r>
          </w:p>
        </w:tc>
        <w:tc>
          <w:tcPr>
            <w:tcW w:w="1065" w:type="dxa"/>
            <w:shd w:val="clear" w:color="auto" w:fill="auto"/>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合同签订后六个月内</w:t>
            </w:r>
          </w:p>
        </w:tc>
        <w:tc>
          <w:tcPr>
            <w:tcW w:w="900" w:type="dxa"/>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1年</w:t>
            </w:r>
          </w:p>
        </w:tc>
        <w:tc>
          <w:tcPr>
            <w:tcW w:w="1350" w:type="dxa"/>
            <w:shd w:val="clear" w:color="auto" w:fill="auto"/>
            <w:vAlign w:val="center"/>
          </w:tcPr>
          <w:p>
            <w:pPr>
              <w:widowControl/>
              <w:jc w:val="center"/>
              <w:rPr>
                <w:rFonts w:ascii="仿宋" w:hAnsi="仿宋" w:eastAsia="仿宋" w:cs="Arial"/>
                <w:color w:val="000000" w:themeColor="text1"/>
                <w:kern w:val="0"/>
                <w:sz w:val="22"/>
                <w:szCs w:val="22"/>
                <w14:textFill>
                  <w14:solidFill>
                    <w14:schemeClr w14:val="tx1"/>
                  </w14:solidFill>
                </w14:textFill>
              </w:rPr>
            </w:pPr>
            <w:r>
              <w:rPr>
                <w:rFonts w:hint="eastAsia" w:ascii="仿宋" w:hAnsi="仿宋" w:eastAsia="仿宋" w:cs="Arial"/>
                <w:color w:val="000000" w:themeColor="text1"/>
                <w:kern w:val="0"/>
                <w:sz w:val="22"/>
                <w:szCs w:val="22"/>
                <w14:textFill>
                  <w14:solidFill>
                    <w14:schemeClr w14:val="tx1"/>
                  </w14:solidFill>
                </w14:textFill>
              </w:rPr>
              <w:t>买方指定仓库地面交货</w:t>
            </w:r>
          </w:p>
        </w:tc>
        <w:tc>
          <w:tcPr>
            <w:tcW w:w="1125" w:type="dxa"/>
            <w:vMerge w:val="continue"/>
            <w:tcBorders/>
            <w:shd w:val="clear" w:color="auto" w:fill="auto"/>
            <w:vAlign w:val="center"/>
          </w:tcPr>
          <w:p>
            <w:pPr>
              <w:widowControl/>
              <w:jc w:val="center"/>
              <w:rPr>
                <w:rFonts w:hint="eastAsia" w:ascii="仿宋" w:hAnsi="仿宋" w:eastAsia="仿宋" w:cs="Arial"/>
                <w:color w:val="000000" w:themeColor="text1"/>
                <w:kern w:val="0"/>
                <w:sz w:val="22"/>
                <w:szCs w:val="22"/>
                <w14:textFill>
                  <w14:solidFill>
                    <w14:schemeClr w14:val="tx1"/>
                  </w14:solidFill>
                </w14:textFill>
              </w:rPr>
            </w:pPr>
          </w:p>
        </w:tc>
        <w:tc>
          <w:tcPr>
            <w:tcW w:w="1245" w:type="dxa"/>
            <w:vMerge w:val="continue"/>
            <w:tcBorders/>
            <w:shd w:val="clear" w:color="auto" w:fill="auto"/>
            <w:vAlign w:val="center"/>
          </w:tcPr>
          <w:p>
            <w:pPr>
              <w:widowControl/>
              <w:jc w:val="center"/>
              <w:rPr>
                <w:rFonts w:hint="eastAsia" w:ascii="仿宋" w:hAnsi="仿宋" w:eastAsia="仿宋" w:cs="Arial"/>
                <w:color w:val="000000" w:themeColor="text1"/>
                <w:kern w:val="0"/>
                <w:sz w:val="22"/>
                <w:szCs w:val="22"/>
                <w14:textFill>
                  <w14:solidFill>
                    <w14:schemeClr w14:val="tx1"/>
                  </w14:solidFill>
                </w14:textFill>
              </w:rPr>
            </w:pPr>
          </w:p>
        </w:tc>
      </w:tr>
    </w:tbl>
    <w:p>
      <w:pPr>
        <w:rPr>
          <w:rFonts w:hint="eastAsia"/>
          <w:lang w:val="en-US" w:eastAsia="zh-CN"/>
        </w:rPr>
      </w:pPr>
      <w:r>
        <w:rPr>
          <w:rFonts w:hint="eastAsia" w:ascii="方正仿宋_GBK" w:hAnsi="方正仿宋_GBK" w:eastAsia="方正仿宋_GBK" w:cs="方正仿宋_GBK"/>
          <w:sz w:val="28"/>
          <w:szCs w:val="28"/>
          <w:lang w:val="en-US" w:eastAsia="zh-CN"/>
        </w:rPr>
        <w:t>具体供货不局限于上述产品。应包括上述产品相关配件，类似升级产品。</w:t>
      </w: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7C51F0"/>
    <w:rsid w:val="13BE6865"/>
    <w:rsid w:val="1D9A7C5A"/>
    <w:rsid w:val="24715047"/>
    <w:rsid w:val="33802A96"/>
    <w:rsid w:val="4CF110AF"/>
    <w:rsid w:val="5E59267D"/>
    <w:rsid w:val="5F0B2717"/>
    <w:rsid w:val="757A6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851392529</cp:lastModifiedBy>
  <dcterms:modified xsi:type="dcterms:W3CDTF">2019-07-10T09:20:10Z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