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项目名称：国网智能科技股份有限公司单相卡轨交流电能表采购项目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项目编号：SGAI20W9-0917-WZXYJT-SY02</w:t>
      </w:r>
    </w:p>
    <w:tbl>
      <w:tblPr>
        <w:tblStyle w:val="5"/>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50"/>
        <w:gridCol w:w="2425"/>
        <w:gridCol w:w="700"/>
        <w:gridCol w:w="875"/>
        <w:gridCol w:w="1025"/>
        <w:gridCol w:w="625"/>
        <w:gridCol w:w="1125"/>
        <w:gridCol w:w="2875"/>
        <w:gridCol w:w="175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34"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项目名称</w:t>
            </w:r>
          </w:p>
        </w:tc>
        <w:tc>
          <w:tcPr>
            <w:tcW w:w="950" w:type="dxa"/>
            <w:shd w:val="clear" w:color="auto" w:fill="auto"/>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物资</w:t>
            </w:r>
          </w:p>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名称</w:t>
            </w:r>
          </w:p>
        </w:tc>
        <w:tc>
          <w:tcPr>
            <w:tcW w:w="2425" w:type="dxa"/>
            <w:shd w:val="clear" w:color="auto" w:fill="auto"/>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主要技术要求</w:t>
            </w:r>
          </w:p>
        </w:tc>
        <w:tc>
          <w:tcPr>
            <w:tcW w:w="700" w:type="dxa"/>
            <w:shd w:val="clear" w:color="auto" w:fill="auto"/>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单位</w:t>
            </w:r>
          </w:p>
        </w:tc>
        <w:tc>
          <w:tcPr>
            <w:tcW w:w="875" w:type="dxa"/>
            <w:shd w:val="clear" w:color="auto" w:fill="auto"/>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数量</w:t>
            </w:r>
          </w:p>
        </w:tc>
        <w:tc>
          <w:tcPr>
            <w:tcW w:w="1025" w:type="dxa"/>
            <w:shd w:val="clear" w:color="auto" w:fill="auto"/>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交货日期</w:t>
            </w:r>
          </w:p>
        </w:tc>
        <w:tc>
          <w:tcPr>
            <w:tcW w:w="625"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质保期</w:t>
            </w:r>
          </w:p>
        </w:tc>
        <w:tc>
          <w:tcPr>
            <w:tcW w:w="1125" w:type="dxa"/>
            <w:shd w:val="clear" w:color="auto" w:fill="auto"/>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交货地点</w:t>
            </w:r>
          </w:p>
        </w:tc>
        <w:tc>
          <w:tcPr>
            <w:tcW w:w="2875" w:type="dxa"/>
            <w:shd w:val="clear" w:color="auto" w:fill="auto"/>
            <w:vAlign w:val="center"/>
          </w:tcPr>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1750" w:type="dxa"/>
            <w:shd w:val="clear" w:color="auto" w:fill="auto"/>
            <w:vAlign w:val="center"/>
          </w:tcPr>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1332"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1134" w:type="dxa"/>
            <w:vAlign w:val="center"/>
          </w:tcPr>
          <w:p>
            <w:pPr>
              <w:widowControl/>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单相卡轨交流电能表采购项目</w:t>
            </w:r>
          </w:p>
        </w:tc>
        <w:tc>
          <w:tcPr>
            <w:tcW w:w="950" w:type="dxa"/>
            <w:shd w:val="clear" w:color="auto" w:fill="auto"/>
            <w:vAlign w:val="center"/>
          </w:tcPr>
          <w:p>
            <w:pPr>
              <w:widowControl/>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单相卡轨交流电能表</w:t>
            </w:r>
          </w:p>
        </w:tc>
        <w:tc>
          <w:tcPr>
            <w:tcW w:w="2425" w:type="dxa"/>
            <w:shd w:val="clear" w:color="auto" w:fill="auto"/>
            <w:vAlign w:val="center"/>
          </w:tcPr>
          <w:p>
            <w:pPr>
              <w:widowControl/>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sz w:val="22"/>
                <w:szCs w:val="22"/>
              </w:rPr>
              <w:t>参比电压</w:t>
            </w:r>
            <w:r>
              <w:rPr>
                <w:rFonts w:hint="eastAsia" w:ascii="仿宋" w:hAnsi="仿宋" w:eastAsia="仿宋"/>
                <w:color w:val="000000" w:themeColor="text1"/>
                <w:kern w:val="0"/>
                <w:sz w:val="22"/>
                <w:szCs w:val="22"/>
                <w14:textFill>
                  <w14:solidFill>
                    <w14:schemeClr w14:val="tx1"/>
                  </w14:solidFill>
                </w14:textFill>
              </w:rPr>
              <w:t>AC 220V50Hz；电流规格5(60)A/5(80)A；准确度等级1.0级；通讯方式：RS485通讯；接线方式：直接接入式；通信协议兼容DL/T645-2007和Modbus-RTU规约。</w:t>
            </w:r>
          </w:p>
        </w:tc>
        <w:tc>
          <w:tcPr>
            <w:tcW w:w="700" w:type="dxa"/>
            <w:shd w:val="clear" w:color="000000" w:fill="FFFFFF"/>
            <w:vAlign w:val="center"/>
          </w:tcPr>
          <w:p>
            <w:pPr>
              <w:widowControl/>
              <w:jc w:val="center"/>
              <w:rPr>
                <w:rFonts w:ascii="仿宋" w:hAnsi="仿宋" w:eastAsia="仿宋"/>
                <w:color w:val="000000" w:themeColor="text1"/>
                <w:kern w:val="0"/>
                <w:sz w:val="22"/>
                <w:szCs w:val="22"/>
                <w14:textFill>
                  <w14:solidFill>
                    <w14:schemeClr w14:val="tx1"/>
                  </w14:solidFill>
                </w14:textFill>
              </w:rPr>
            </w:pPr>
            <w:r>
              <w:rPr>
                <w:rFonts w:hint="eastAsia" w:ascii="仿宋" w:hAnsi="仿宋" w:eastAsia="仿宋"/>
                <w:color w:val="000000" w:themeColor="text1"/>
                <w:kern w:val="0"/>
                <w:sz w:val="22"/>
                <w:szCs w:val="22"/>
                <w14:textFill>
                  <w14:solidFill>
                    <w14:schemeClr w14:val="tx1"/>
                  </w14:solidFill>
                </w14:textFill>
              </w:rPr>
              <w:t>套</w:t>
            </w:r>
          </w:p>
        </w:tc>
        <w:tc>
          <w:tcPr>
            <w:tcW w:w="875" w:type="dxa"/>
            <w:shd w:val="clear" w:color="000000" w:fill="FFFFFF"/>
            <w:vAlign w:val="center"/>
          </w:tcPr>
          <w:p>
            <w:pPr>
              <w:widowControl/>
              <w:jc w:val="center"/>
              <w:rPr>
                <w:rFonts w:ascii="仿宋" w:hAnsi="仿宋" w:eastAsia="仿宋"/>
                <w:color w:val="000000" w:themeColor="text1"/>
                <w:kern w:val="0"/>
                <w:sz w:val="22"/>
                <w:szCs w:val="22"/>
                <w14:textFill>
                  <w14:solidFill>
                    <w14:schemeClr w14:val="tx1"/>
                  </w14:solidFill>
                </w14:textFill>
              </w:rPr>
            </w:pPr>
            <w:r>
              <w:rPr>
                <w:rFonts w:hint="eastAsia" w:ascii="仿宋" w:hAnsi="仿宋" w:eastAsia="仿宋"/>
                <w:color w:val="000000" w:themeColor="text1"/>
                <w:kern w:val="0"/>
                <w:sz w:val="22"/>
                <w:szCs w:val="22"/>
                <w14:textFill>
                  <w14:solidFill>
                    <w14:schemeClr w14:val="tx1"/>
                  </w14:solidFill>
                </w14:textFill>
              </w:rPr>
              <w:t>8300</w:t>
            </w:r>
          </w:p>
        </w:tc>
        <w:tc>
          <w:tcPr>
            <w:tcW w:w="1025" w:type="dxa"/>
            <w:shd w:val="clear" w:color="auto" w:fill="auto"/>
            <w:vAlign w:val="center"/>
          </w:tcPr>
          <w:p>
            <w:pPr>
              <w:widowControl/>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接到供货通知后15日内</w:t>
            </w:r>
          </w:p>
        </w:tc>
        <w:tc>
          <w:tcPr>
            <w:tcW w:w="625" w:type="dxa"/>
            <w:vAlign w:val="center"/>
          </w:tcPr>
          <w:p>
            <w:pPr>
              <w:widowControl/>
              <w:jc w:val="center"/>
              <w:rPr>
                <w:rFonts w:ascii="仿宋" w:hAnsi="仿宋" w:eastAsia="仿宋"/>
                <w:color w:val="000000" w:themeColor="text1"/>
                <w:kern w:val="0"/>
                <w:sz w:val="22"/>
                <w:szCs w:val="22"/>
                <w14:textFill>
                  <w14:solidFill>
                    <w14:schemeClr w14:val="tx1"/>
                  </w14:solidFill>
                </w14:textFill>
              </w:rPr>
            </w:pPr>
            <w:r>
              <w:rPr>
                <w:rFonts w:hint="eastAsia" w:ascii="仿宋" w:hAnsi="仿宋" w:eastAsia="仿宋"/>
                <w:color w:val="000000" w:themeColor="text1"/>
                <w:kern w:val="0"/>
                <w:sz w:val="22"/>
                <w:szCs w:val="22"/>
                <w14:textFill>
                  <w14:solidFill>
                    <w14:schemeClr w14:val="tx1"/>
                  </w14:solidFill>
                </w14:textFill>
              </w:rPr>
              <w:t>3年</w:t>
            </w:r>
          </w:p>
        </w:tc>
        <w:tc>
          <w:tcPr>
            <w:tcW w:w="1125" w:type="dxa"/>
            <w:shd w:val="clear" w:color="auto" w:fill="auto"/>
            <w:vAlign w:val="center"/>
          </w:tcPr>
          <w:p>
            <w:pPr>
              <w:widowControl/>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买方指定仓库地面交货</w:t>
            </w:r>
          </w:p>
        </w:tc>
        <w:tc>
          <w:tcPr>
            <w:tcW w:w="2875" w:type="dxa"/>
            <w:shd w:val="clear" w:color="auto" w:fill="auto"/>
            <w:vAlign w:val="center"/>
          </w:tcPr>
          <w:p>
            <w:pPr>
              <w:widowControl/>
              <w:numPr>
                <w:ilvl w:val="0"/>
                <w:numId w:val="1"/>
              </w:num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应答人要求：制造商或代理商；</w:t>
            </w:r>
          </w:p>
          <w:p>
            <w:pPr>
              <w:widowControl/>
              <w:numPr>
                <w:ilvl w:val="0"/>
                <w:numId w:val="1"/>
              </w:numPr>
              <w:ind w:left="0" w:leftChars="0" w:firstLine="0" w:firstLineChars="0"/>
              <w:jc w:val="both"/>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认证证书：</w:t>
            </w:r>
            <w:r>
              <w:rPr>
                <w:rFonts w:hint="eastAsia" w:ascii="仿宋" w:hAnsi="仿宋" w:eastAsia="仿宋" w:cs="仿宋"/>
                <w:color w:val="000000" w:themeColor="text1"/>
                <w:sz w:val="22"/>
                <w:szCs w:val="22"/>
                <w:shd w:val="clear" w:color="auto" w:fill="FFFFFF"/>
                <w14:textFill>
                  <w14:solidFill>
                    <w14:schemeClr w14:val="tx1"/>
                  </w14:solidFill>
                </w14:textFill>
              </w:rPr>
              <w:t>制造商提供有效的ISO9000系列质量保证体系认证证书，代理商须提供制造商有效的ISO9000系列质量保证体系认证证书</w:t>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w:t>
            </w:r>
          </w:p>
          <w:p>
            <w:pPr>
              <w:widowControl/>
              <w:numPr>
                <w:ilvl w:val="0"/>
                <w:numId w:val="0"/>
              </w:numPr>
              <w:ind w:leftChars="0"/>
              <w:jc w:val="both"/>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t>3.备注：代理商需提供制造商授权函及制造商出具的质保函。</w:t>
            </w:r>
          </w:p>
        </w:tc>
        <w:tc>
          <w:tcPr>
            <w:tcW w:w="1750" w:type="dxa"/>
            <w:shd w:val="clear" w:color="auto" w:fill="auto"/>
            <w:vAlign w:val="center"/>
          </w:tcPr>
          <w:p>
            <w:pPr>
              <w:widowControl/>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应答人2017年1月1日至投标截止日内，与招标项目相似产品销售业绩不少于2份且合同额累计不低于30万元，注：业绩必须提供对应的合同复印件。</w:t>
            </w:r>
          </w:p>
        </w:tc>
        <w:tc>
          <w:tcPr>
            <w:tcW w:w="1332" w:type="dxa"/>
            <w:shd w:val="clear" w:color="auto" w:fill="auto"/>
            <w:vAlign w:val="center"/>
          </w:tcPr>
          <w:p>
            <w:pPr>
              <w:widowControl/>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0.9</w:t>
            </w: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rPr>
          <w:rFonts w:hint="eastAsia" w:ascii="仿宋" w:hAnsi="仿宋" w:eastAsia="仿宋"/>
          <w:sz w:val="22"/>
          <w:szCs w:val="22"/>
          <w:lang w:eastAsia="zh-CN"/>
        </w:rPr>
      </w:pPr>
      <w:r>
        <w:rPr>
          <w:rFonts w:hint="eastAsia" w:ascii="仿宋" w:hAnsi="仿宋" w:eastAsia="仿宋"/>
          <w:sz w:val="22"/>
          <w:szCs w:val="22"/>
          <w:lang w:eastAsia="zh-CN"/>
        </w:rPr>
        <w:t>3.项目正式投运前投标方必须提供国家认可第三方检测机构出具的有效的检测报告，否则招标方应承担由此引起的用户投诉（包含扣款）等一切</w:t>
      </w:r>
    </w:p>
    <w:p>
      <w:pPr>
        <w:rPr>
          <w:rFonts w:hint="eastAsia"/>
          <w:lang w:eastAsia="zh-CN"/>
        </w:rPr>
      </w:pPr>
      <w:r>
        <w:rPr>
          <w:rFonts w:hint="eastAsia" w:ascii="仿宋" w:hAnsi="仿宋" w:eastAsia="仿宋"/>
          <w:sz w:val="22"/>
          <w:szCs w:val="22"/>
          <w:lang w:eastAsia="zh-CN"/>
        </w:rPr>
        <w:t>责任。</w:t>
      </w:r>
      <w:bookmarkStart w:id="0" w:name="_GoBack"/>
      <w:bookmarkEnd w:id="0"/>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4CD83"/>
    <w:multiLevelType w:val="singleLevel"/>
    <w:tmpl w:val="B9D4CD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2D91"/>
    <w:rsid w:val="021D6835"/>
    <w:rsid w:val="06044745"/>
    <w:rsid w:val="0C7B70CD"/>
    <w:rsid w:val="0FB8241C"/>
    <w:rsid w:val="10630032"/>
    <w:rsid w:val="11235341"/>
    <w:rsid w:val="11706D76"/>
    <w:rsid w:val="16CE1D05"/>
    <w:rsid w:val="1C484EDE"/>
    <w:rsid w:val="1D544F92"/>
    <w:rsid w:val="2A102A40"/>
    <w:rsid w:val="2A1B4DA4"/>
    <w:rsid w:val="2DA048C3"/>
    <w:rsid w:val="2F3B3243"/>
    <w:rsid w:val="31F35F98"/>
    <w:rsid w:val="33AA648F"/>
    <w:rsid w:val="3A946D05"/>
    <w:rsid w:val="3A963A95"/>
    <w:rsid w:val="3B7B0F02"/>
    <w:rsid w:val="3C4640B3"/>
    <w:rsid w:val="3DA0516C"/>
    <w:rsid w:val="402C1AAD"/>
    <w:rsid w:val="42970BA5"/>
    <w:rsid w:val="48533871"/>
    <w:rsid w:val="4F85749E"/>
    <w:rsid w:val="525E03F7"/>
    <w:rsid w:val="54A702DC"/>
    <w:rsid w:val="56276803"/>
    <w:rsid w:val="57555BE4"/>
    <w:rsid w:val="5D5160B2"/>
    <w:rsid w:val="5F313510"/>
    <w:rsid w:val="5FF55C9E"/>
    <w:rsid w:val="65EF4057"/>
    <w:rsid w:val="6D58589D"/>
    <w:rsid w:val="79575DB3"/>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2020-09-17T08:31:17Z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