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项目名称：山东鲁能软件技术有限公司智能电气分公司岸电系统设备采购项目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项目编号：ZN21W1-0108-JY-WZDXZB-SY04</w:t>
      </w:r>
    </w:p>
    <w:tbl>
      <w:tblPr>
        <w:tblStyle w:val="8"/>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331"/>
        <w:gridCol w:w="4613"/>
        <w:gridCol w:w="692"/>
        <w:gridCol w:w="713"/>
        <w:gridCol w:w="1012"/>
        <w:gridCol w:w="877"/>
        <w:gridCol w:w="935"/>
        <w:gridCol w:w="1496"/>
        <w:gridCol w:w="1196"/>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46"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w:t>
            </w:r>
          </w:p>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名称</w:t>
            </w:r>
          </w:p>
        </w:tc>
        <w:tc>
          <w:tcPr>
            <w:tcW w:w="45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157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3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4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4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99"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bookmarkStart w:id="0" w:name="_GoBack"/>
            <w:bookmarkEnd w:id="0"/>
          </w:p>
        </w:tc>
        <w:tc>
          <w:tcPr>
            <w:tcW w:w="31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510"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408"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364"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246" w:type="pct"/>
            <w:vMerge w:val="restart"/>
            <w:vAlign w:val="center"/>
          </w:tcPr>
          <w:p>
            <w:pPr>
              <w:widowControl/>
              <w:jc w:val="center"/>
              <w:rPr>
                <w:rFonts w:ascii="仿宋" w:hAnsi="仿宋" w:eastAsia="仿宋" w:cs="Arial"/>
                <w:kern w:val="0"/>
                <w:szCs w:val="22"/>
              </w:rPr>
            </w:pPr>
            <w:r>
              <w:rPr>
                <w:rFonts w:hint="eastAsia" w:ascii="仿宋" w:hAnsi="仿宋" w:eastAsia="仿宋" w:cs="Arial"/>
                <w:kern w:val="0"/>
                <w:szCs w:val="22"/>
              </w:rPr>
              <w:t>岸电系统设备采购项目</w:t>
            </w:r>
          </w:p>
        </w:tc>
        <w:tc>
          <w:tcPr>
            <w:tcW w:w="454" w:type="pct"/>
            <w:shd w:val="clear" w:color="auto" w:fill="auto"/>
            <w:vAlign w:val="center"/>
          </w:tcPr>
          <w:p>
            <w:pPr>
              <w:jc w:val="center"/>
              <w:rPr>
                <w:rFonts w:ascii="仿宋" w:hAnsi="仿宋" w:eastAsia="仿宋" w:cs="Arial"/>
                <w:kern w:val="0"/>
                <w:szCs w:val="22"/>
              </w:rPr>
            </w:pPr>
            <w:r>
              <w:rPr>
                <w:rFonts w:hint="eastAsia" w:ascii="仿宋" w:hAnsi="仿宋" w:eastAsia="仿宋" w:cs="Arial"/>
                <w:kern w:val="0"/>
                <w:szCs w:val="22"/>
              </w:rPr>
              <w:t>移动机器人底部平台模块及控制系统</w:t>
            </w:r>
          </w:p>
        </w:tc>
        <w:tc>
          <w:tcPr>
            <w:tcW w:w="1573" w:type="pct"/>
            <w:shd w:val="clear" w:color="auto" w:fill="FFFFFF" w:themeFill="background1"/>
            <w:vAlign w:val="center"/>
          </w:tcPr>
          <w:p>
            <w:pPr>
              <w:tabs>
                <w:tab w:val="left" w:pos="641"/>
              </w:tabs>
              <w:jc w:val="left"/>
              <w:rPr>
                <w:rFonts w:ascii="仿宋" w:hAnsi="仿宋" w:eastAsia="仿宋"/>
                <w:kern w:val="0"/>
                <w:sz w:val="20"/>
                <w:szCs w:val="22"/>
              </w:rPr>
            </w:pPr>
            <w:r>
              <w:rPr>
                <w:rFonts w:hint="eastAsia" w:ascii="仿宋" w:hAnsi="仿宋" w:eastAsia="仿宋"/>
                <w:kern w:val="0"/>
                <w:sz w:val="20"/>
                <w:szCs w:val="22"/>
              </w:rPr>
              <w:t>1、驻车功能：机器人移动至作业位置后，打开驻车机构，顶升稳固车体，防止作业过程中的底盘位移与倾覆；</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2、底盘遥控功能：遥控机器人底盘进行运动；</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3、碰撞防护功能；机器人底盘需具备多级防碰撞要求。</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4、越障能力不低于8cm</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5、越沟能力不窄于25cm，爬坡能力不小于5度；</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6、机器人底盘额定运行速度：0.5m/s；</w:t>
            </w:r>
          </w:p>
        </w:tc>
        <w:tc>
          <w:tcPr>
            <w:tcW w:w="236" w:type="pct"/>
            <w:shd w:val="clear" w:color="000000" w:fill="FFFFFF"/>
            <w:vAlign w:val="center"/>
          </w:tcPr>
          <w:p>
            <w:pPr>
              <w:widowControl/>
              <w:jc w:val="center"/>
              <w:rPr>
                <w:rFonts w:ascii="仿宋" w:hAnsi="仿宋" w:eastAsia="仿宋" w:cs="Arial"/>
                <w:kern w:val="0"/>
                <w:szCs w:val="22"/>
              </w:rPr>
            </w:pPr>
            <w:r>
              <w:rPr>
                <w:rFonts w:hint="eastAsia" w:ascii="仿宋" w:hAnsi="仿宋" w:eastAsia="仿宋" w:cs="Arial"/>
                <w:kern w:val="0"/>
                <w:szCs w:val="22"/>
              </w:rPr>
              <w:t>套</w:t>
            </w:r>
          </w:p>
        </w:tc>
        <w:tc>
          <w:tcPr>
            <w:tcW w:w="243" w:type="pct"/>
            <w:shd w:val="clear" w:color="000000" w:fill="FFFFFF"/>
            <w:vAlign w:val="center"/>
          </w:tcPr>
          <w:p>
            <w:pPr>
              <w:jc w:val="center"/>
              <w:rPr>
                <w:rFonts w:ascii="仿宋" w:hAnsi="仿宋" w:eastAsia="仿宋" w:cs="Arial"/>
                <w:kern w:val="0"/>
                <w:szCs w:val="22"/>
              </w:rPr>
            </w:pPr>
            <w:r>
              <w:rPr>
                <w:rFonts w:ascii="仿宋" w:hAnsi="仿宋" w:eastAsia="仿宋" w:cs="Arial"/>
                <w:kern w:val="0"/>
                <w:szCs w:val="22"/>
              </w:rPr>
              <w:t>5</w:t>
            </w:r>
          </w:p>
        </w:tc>
        <w:tc>
          <w:tcPr>
            <w:tcW w:w="345"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合同签订后45日内</w:t>
            </w:r>
          </w:p>
        </w:tc>
        <w:tc>
          <w:tcPr>
            <w:tcW w:w="299" w:type="pct"/>
            <w:vAlign w:val="center"/>
          </w:tcPr>
          <w:p>
            <w:pPr>
              <w:widowControl/>
              <w:jc w:val="center"/>
              <w:rPr>
                <w:rFonts w:ascii="仿宋" w:hAnsi="仿宋" w:eastAsia="仿宋" w:cs="Arial"/>
                <w:kern w:val="0"/>
                <w:szCs w:val="22"/>
              </w:rPr>
            </w:pPr>
            <w:r>
              <w:rPr>
                <w:rFonts w:hint="eastAsia" w:ascii="仿宋" w:hAnsi="仿宋" w:eastAsia="仿宋" w:cs="Arial"/>
                <w:kern w:val="0"/>
                <w:szCs w:val="22"/>
              </w:rPr>
              <w:t>3年</w:t>
            </w:r>
          </w:p>
        </w:tc>
        <w:tc>
          <w:tcPr>
            <w:tcW w:w="319"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买方指定仓库地面交货</w:t>
            </w:r>
          </w:p>
        </w:tc>
        <w:tc>
          <w:tcPr>
            <w:tcW w:w="510" w:type="pct"/>
            <w:vMerge w:val="restart"/>
            <w:shd w:val="clear" w:color="auto" w:fill="auto"/>
            <w:vAlign w:val="center"/>
          </w:tcPr>
          <w:p>
            <w:pPr>
              <w:widowControl/>
              <w:numPr>
                <w:ilvl w:val="0"/>
                <w:numId w:val="1"/>
              </w:numPr>
              <w:jc w:val="center"/>
              <w:rPr>
                <w:rFonts w:hint="eastAsia" w:ascii="仿宋" w:hAnsi="仿宋" w:eastAsia="仿宋" w:cs="宋体"/>
                <w:kern w:val="0"/>
                <w:sz w:val="22"/>
                <w:szCs w:val="22"/>
                <w:lang w:eastAsia="zh-CN"/>
              </w:rPr>
            </w:pPr>
            <w:r>
              <w:rPr>
                <w:rFonts w:hint="eastAsia" w:ascii="仿宋" w:hAnsi="仿宋" w:eastAsia="仿宋" w:cs="Arial"/>
                <w:kern w:val="0"/>
                <w:szCs w:val="22"/>
                <w:lang w:val="en-US" w:eastAsia="zh-CN"/>
              </w:rPr>
              <w:t>厂商要求：</w:t>
            </w:r>
            <w:r>
              <w:rPr>
                <w:rFonts w:hint="eastAsia" w:ascii="仿宋" w:hAnsi="仿宋" w:eastAsia="仿宋" w:cs="宋体"/>
                <w:kern w:val="0"/>
                <w:sz w:val="22"/>
                <w:szCs w:val="22"/>
              </w:rPr>
              <w:t>具有独立企业法人资格</w:t>
            </w:r>
            <w:r>
              <w:rPr>
                <w:rFonts w:hint="eastAsia" w:ascii="仿宋" w:hAnsi="仿宋" w:eastAsia="仿宋" w:cs="宋体"/>
                <w:kern w:val="0"/>
                <w:sz w:val="22"/>
                <w:szCs w:val="22"/>
                <w:lang w:eastAsia="zh-CN"/>
              </w:rPr>
              <w:t>；</w:t>
            </w:r>
          </w:p>
          <w:p>
            <w:pPr>
              <w:widowControl/>
              <w:numPr>
                <w:ilvl w:val="0"/>
                <w:numId w:val="1"/>
              </w:numPr>
              <w:jc w:val="center"/>
              <w:rPr>
                <w:rFonts w:hint="eastAsia" w:ascii="仿宋" w:hAnsi="仿宋" w:eastAsia="仿宋" w:cs="Arial"/>
                <w:kern w:val="0"/>
                <w:szCs w:val="22"/>
                <w:lang w:val="en-US" w:eastAsia="zh-CN"/>
              </w:rPr>
            </w:pPr>
            <w:r>
              <w:rPr>
                <w:rFonts w:hint="eastAsia" w:ascii="仿宋" w:hAnsi="仿宋" w:eastAsia="仿宋" w:cs="宋体"/>
                <w:kern w:val="0"/>
                <w:sz w:val="22"/>
                <w:szCs w:val="22"/>
                <w:lang w:val="en-US" w:eastAsia="zh-CN"/>
              </w:rPr>
              <w:t>认证证书：</w:t>
            </w:r>
            <w:r>
              <w:rPr>
                <w:rFonts w:hint="eastAsia" w:ascii="仿宋" w:hAnsi="仿宋" w:eastAsia="仿宋" w:cs="宋体"/>
                <w:kern w:val="0"/>
                <w:sz w:val="22"/>
                <w:szCs w:val="22"/>
              </w:rPr>
              <w:t>具有承装（修、试）电力设施许可证五级及以上资质</w:t>
            </w:r>
            <w:r>
              <w:rPr>
                <w:rFonts w:hint="eastAsia" w:ascii="仿宋" w:hAnsi="仿宋" w:eastAsia="仿宋" w:cs="宋体"/>
                <w:kern w:val="0"/>
                <w:sz w:val="22"/>
                <w:szCs w:val="22"/>
                <w:lang w:eastAsia="zh-CN"/>
              </w:rPr>
              <w:t>。</w:t>
            </w:r>
          </w:p>
        </w:tc>
        <w:tc>
          <w:tcPr>
            <w:tcW w:w="408" w:type="pct"/>
            <w:vMerge w:val="restart"/>
            <w:shd w:val="clear" w:color="auto" w:fill="auto"/>
            <w:vAlign w:val="center"/>
          </w:tcPr>
          <w:p>
            <w:pPr>
              <w:widowControl/>
              <w:jc w:val="center"/>
              <w:rPr>
                <w:rFonts w:hint="eastAsia" w:ascii="仿宋" w:hAnsi="仿宋" w:eastAsia="仿宋" w:cs="Arial"/>
                <w:kern w:val="0"/>
                <w:szCs w:val="22"/>
                <w:lang w:val="en-US" w:eastAsia="zh-CN"/>
              </w:rPr>
            </w:pPr>
            <w:r>
              <w:rPr>
                <w:rFonts w:hint="eastAsia" w:ascii="仿宋" w:hAnsi="仿宋" w:eastAsia="仿宋" w:cs="Arial"/>
                <w:kern w:val="0"/>
                <w:szCs w:val="22"/>
                <w:lang w:val="en-US" w:eastAsia="zh-CN"/>
              </w:rPr>
              <w:t>业绩要求：</w:t>
            </w:r>
            <w:r>
              <w:rPr>
                <w:rFonts w:hint="eastAsia" w:ascii="仿宋" w:hAnsi="仿宋" w:eastAsia="仿宋" w:cs="宋体"/>
                <w:kern w:val="0"/>
                <w:sz w:val="22"/>
                <w:szCs w:val="22"/>
              </w:rPr>
              <w:t>应答人2018年1月1日至投标截止日内，招标项目类似产品累计销售业绩不少于2份。注：业绩必须提供对应的合同复印件。</w:t>
            </w:r>
          </w:p>
        </w:tc>
        <w:tc>
          <w:tcPr>
            <w:tcW w:w="364" w:type="pct"/>
            <w:vMerge w:val="restart"/>
            <w:shd w:val="clear" w:color="auto" w:fill="auto"/>
            <w:vAlign w:val="center"/>
          </w:tcPr>
          <w:p>
            <w:pPr>
              <w:widowControl/>
              <w:jc w:val="center"/>
              <w:rPr>
                <w:rFonts w:hint="default" w:ascii="仿宋" w:hAnsi="仿宋" w:eastAsia="仿宋" w:cs="Arial"/>
                <w:kern w:val="0"/>
                <w:szCs w:val="22"/>
                <w:lang w:val="en-US" w:eastAsia="zh-CN"/>
              </w:rPr>
            </w:pPr>
            <w:r>
              <w:rPr>
                <w:rFonts w:hint="eastAsia" w:ascii="仿宋" w:hAnsi="仿宋" w:eastAsia="仿宋" w:cs="Arial"/>
                <w:kern w:val="0"/>
                <w:szCs w:val="22"/>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246" w:type="pct"/>
            <w:vMerge w:val="continue"/>
            <w:vAlign w:val="center"/>
          </w:tcPr>
          <w:p>
            <w:pPr>
              <w:widowControl/>
              <w:jc w:val="center"/>
              <w:rPr>
                <w:rFonts w:ascii="仿宋" w:hAnsi="仿宋" w:eastAsia="仿宋" w:cs="Arial"/>
                <w:kern w:val="0"/>
                <w:szCs w:val="22"/>
              </w:rPr>
            </w:pPr>
          </w:p>
        </w:tc>
        <w:tc>
          <w:tcPr>
            <w:tcW w:w="454" w:type="pct"/>
            <w:shd w:val="clear" w:color="auto" w:fill="auto"/>
            <w:vAlign w:val="center"/>
          </w:tcPr>
          <w:p>
            <w:pPr>
              <w:jc w:val="center"/>
              <w:rPr>
                <w:rFonts w:ascii="仿宋" w:hAnsi="仿宋" w:eastAsia="仿宋"/>
                <w:kern w:val="0"/>
                <w:szCs w:val="22"/>
              </w:rPr>
            </w:pPr>
            <w:r>
              <w:rPr>
                <w:rFonts w:hint="eastAsia" w:ascii="仿宋" w:hAnsi="仿宋" w:eastAsia="仿宋"/>
                <w:kern w:val="0"/>
                <w:szCs w:val="22"/>
              </w:rPr>
              <w:t>多轴机械臂、作业底部平台模块及主控系统</w:t>
            </w:r>
          </w:p>
        </w:tc>
        <w:tc>
          <w:tcPr>
            <w:tcW w:w="1573" w:type="pct"/>
            <w:shd w:val="clear" w:color="auto" w:fill="FFFFFF" w:themeFill="background1"/>
            <w:vAlign w:val="center"/>
          </w:tcPr>
          <w:p>
            <w:pPr>
              <w:tabs>
                <w:tab w:val="left" w:pos="641"/>
              </w:tabs>
              <w:jc w:val="left"/>
              <w:rPr>
                <w:rFonts w:ascii="仿宋" w:hAnsi="仿宋" w:eastAsia="仿宋"/>
                <w:kern w:val="0"/>
                <w:sz w:val="20"/>
                <w:szCs w:val="22"/>
              </w:rPr>
            </w:pPr>
            <w:r>
              <w:rPr>
                <w:rFonts w:hint="eastAsia" w:ascii="仿宋" w:hAnsi="仿宋" w:eastAsia="仿宋"/>
                <w:kern w:val="0"/>
                <w:sz w:val="20"/>
                <w:szCs w:val="22"/>
              </w:rPr>
              <w:t>1、多轴机械臂负载：不小于45kg；</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2、多轴机械臂工作范围：不小于3.2m；</w:t>
            </w:r>
          </w:p>
        </w:tc>
        <w:tc>
          <w:tcPr>
            <w:tcW w:w="236" w:type="pct"/>
            <w:shd w:val="clear" w:color="000000" w:fill="FFFFFF"/>
            <w:vAlign w:val="center"/>
          </w:tcPr>
          <w:p>
            <w:pPr>
              <w:widowControl/>
              <w:jc w:val="center"/>
              <w:rPr>
                <w:rFonts w:ascii="仿宋" w:hAnsi="仿宋" w:eastAsia="仿宋" w:cs="Arial"/>
                <w:kern w:val="0"/>
                <w:szCs w:val="22"/>
              </w:rPr>
            </w:pPr>
            <w:r>
              <w:rPr>
                <w:rFonts w:hint="eastAsia" w:ascii="仿宋" w:hAnsi="仿宋" w:eastAsia="仿宋" w:cs="Arial"/>
                <w:kern w:val="0"/>
                <w:szCs w:val="22"/>
              </w:rPr>
              <w:t>套</w:t>
            </w:r>
          </w:p>
        </w:tc>
        <w:tc>
          <w:tcPr>
            <w:tcW w:w="243" w:type="pct"/>
            <w:shd w:val="clear" w:color="000000" w:fill="FFFFFF"/>
            <w:vAlign w:val="center"/>
          </w:tcPr>
          <w:p>
            <w:pPr>
              <w:jc w:val="center"/>
              <w:rPr>
                <w:rFonts w:ascii="仿宋" w:hAnsi="仿宋" w:eastAsia="仿宋"/>
                <w:kern w:val="0"/>
                <w:szCs w:val="22"/>
              </w:rPr>
            </w:pPr>
            <w:r>
              <w:rPr>
                <w:rFonts w:ascii="仿宋" w:hAnsi="仿宋" w:eastAsia="仿宋" w:cs="Arial"/>
                <w:kern w:val="0"/>
                <w:szCs w:val="22"/>
              </w:rPr>
              <w:t>2</w:t>
            </w:r>
          </w:p>
        </w:tc>
        <w:tc>
          <w:tcPr>
            <w:tcW w:w="345"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合同签订后45日内</w:t>
            </w:r>
          </w:p>
        </w:tc>
        <w:tc>
          <w:tcPr>
            <w:tcW w:w="299" w:type="pct"/>
            <w:vAlign w:val="center"/>
          </w:tcPr>
          <w:p>
            <w:pPr>
              <w:widowControl/>
              <w:jc w:val="center"/>
              <w:rPr>
                <w:rFonts w:ascii="仿宋" w:hAnsi="仿宋" w:eastAsia="仿宋" w:cs="Arial"/>
                <w:kern w:val="0"/>
                <w:szCs w:val="22"/>
              </w:rPr>
            </w:pPr>
            <w:r>
              <w:rPr>
                <w:rFonts w:hint="eastAsia" w:ascii="仿宋" w:hAnsi="仿宋" w:eastAsia="仿宋" w:cs="Arial"/>
                <w:kern w:val="0"/>
                <w:szCs w:val="22"/>
              </w:rPr>
              <w:t>3年</w:t>
            </w:r>
          </w:p>
        </w:tc>
        <w:tc>
          <w:tcPr>
            <w:tcW w:w="319"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买方指定仓库地面交货</w:t>
            </w:r>
          </w:p>
        </w:tc>
        <w:tc>
          <w:tcPr>
            <w:tcW w:w="510" w:type="pct"/>
            <w:vMerge w:val="continue"/>
            <w:tcBorders/>
            <w:shd w:val="clear" w:color="auto" w:fill="auto"/>
            <w:vAlign w:val="center"/>
          </w:tcPr>
          <w:p>
            <w:pPr>
              <w:widowControl/>
              <w:jc w:val="center"/>
              <w:rPr>
                <w:rFonts w:hint="eastAsia" w:ascii="仿宋" w:hAnsi="仿宋" w:eastAsia="仿宋" w:cs="Arial"/>
                <w:kern w:val="0"/>
                <w:szCs w:val="22"/>
              </w:rPr>
            </w:pPr>
          </w:p>
        </w:tc>
        <w:tc>
          <w:tcPr>
            <w:tcW w:w="408" w:type="pct"/>
            <w:vMerge w:val="continue"/>
            <w:tcBorders/>
            <w:shd w:val="clear" w:color="auto" w:fill="auto"/>
            <w:vAlign w:val="center"/>
          </w:tcPr>
          <w:p>
            <w:pPr>
              <w:widowControl/>
              <w:jc w:val="center"/>
              <w:rPr>
                <w:rFonts w:hint="eastAsia" w:ascii="仿宋" w:hAnsi="仿宋" w:eastAsia="仿宋" w:cs="Arial"/>
                <w:kern w:val="0"/>
                <w:szCs w:val="22"/>
              </w:rPr>
            </w:pPr>
          </w:p>
        </w:tc>
        <w:tc>
          <w:tcPr>
            <w:tcW w:w="364" w:type="pct"/>
            <w:vMerge w:val="continue"/>
            <w:tcBorders/>
            <w:shd w:val="clear" w:color="auto" w:fill="auto"/>
            <w:vAlign w:val="center"/>
          </w:tcPr>
          <w:p>
            <w:pPr>
              <w:widowControl/>
              <w:jc w:val="center"/>
              <w:rPr>
                <w:rFonts w:hint="eastAsia" w:ascii="仿宋" w:hAnsi="仿宋" w:eastAsia="仿宋" w:cs="Arial"/>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246" w:type="pct"/>
            <w:vMerge w:val="continue"/>
            <w:vAlign w:val="center"/>
          </w:tcPr>
          <w:p>
            <w:pPr>
              <w:widowControl/>
              <w:jc w:val="center"/>
              <w:rPr>
                <w:rFonts w:ascii="仿宋" w:hAnsi="仿宋" w:eastAsia="仿宋" w:cs="Arial"/>
                <w:kern w:val="0"/>
                <w:szCs w:val="22"/>
              </w:rPr>
            </w:pPr>
          </w:p>
        </w:tc>
        <w:tc>
          <w:tcPr>
            <w:tcW w:w="454" w:type="pct"/>
            <w:shd w:val="clear" w:color="auto" w:fill="auto"/>
            <w:vAlign w:val="center"/>
          </w:tcPr>
          <w:p>
            <w:pPr>
              <w:jc w:val="center"/>
              <w:rPr>
                <w:rFonts w:ascii="仿宋" w:hAnsi="仿宋" w:eastAsia="仿宋"/>
                <w:kern w:val="0"/>
                <w:szCs w:val="22"/>
              </w:rPr>
            </w:pPr>
            <w:r>
              <w:rPr>
                <w:rFonts w:hint="eastAsia" w:ascii="仿宋" w:hAnsi="仿宋" w:eastAsia="仿宋"/>
                <w:kern w:val="0"/>
                <w:szCs w:val="22"/>
              </w:rPr>
              <w:t>自动对接平台及视觉模块</w:t>
            </w:r>
          </w:p>
        </w:tc>
        <w:tc>
          <w:tcPr>
            <w:tcW w:w="1573" w:type="pct"/>
            <w:shd w:val="clear" w:color="auto" w:fill="FFFFFF" w:themeFill="background1"/>
            <w:vAlign w:val="center"/>
          </w:tcPr>
          <w:p>
            <w:pPr>
              <w:tabs>
                <w:tab w:val="left" w:pos="641"/>
              </w:tabs>
              <w:jc w:val="left"/>
              <w:rPr>
                <w:rFonts w:ascii="仿宋" w:hAnsi="仿宋" w:eastAsia="仿宋"/>
                <w:kern w:val="0"/>
                <w:sz w:val="20"/>
                <w:szCs w:val="22"/>
              </w:rPr>
            </w:pPr>
            <w:r>
              <w:rPr>
                <w:rFonts w:hint="eastAsia" w:ascii="仿宋" w:hAnsi="仿宋" w:eastAsia="仿宋"/>
                <w:kern w:val="0"/>
                <w:sz w:val="20"/>
                <w:szCs w:val="22"/>
              </w:rPr>
              <w:t>视觉定位：集成视觉模块，完成对待对接线缆姿态定位；</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自动姿态调整：根据视觉采集待对线缆姿态进行调整。</w:t>
            </w:r>
          </w:p>
        </w:tc>
        <w:tc>
          <w:tcPr>
            <w:tcW w:w="236" w:type="pct"/>
            <w:shd w:val="clear" w:color="000000" w:fill="FFFFFF"/>
            <w:vAlign w:val="center"/>
          </w:tcPr>
          <w:p>
            <w:pPr>
              <w:widowControl/>
              <w:jc w:val="center"/>
              <w:rPr>
                <w:rFonts w:ascii="仿宋" w:hAnsi="仿宋" w:eastAsia="仿宋" w:cs="Arial"/>
                <w:kern w:val="0"/>
                <w:szCs w:val="22"/>
              </w:rPr>
            </w:pPr>
            <w:r>
              <w:rPr>
                <w:rFonts w:hint="eastAsia" w:ascii="仿宋" w:hAnsi="仿宋" w:eastAsia="仿宋" w:cs="Arial"/>
                <w:kern w:val="0"/>
                <w:szCs w:val="22"/>
              </w:rPr>
              <w:t>套</w:t>
            </w:r>
          </w:p>
        </w:tc>
        <w:tc>
          <w:tcPr>
            <w:tcW w:w="243" w:type="pct"/>
            <w:shd w:val="clear" w:color="000000" w:fill="FFFFFF"/>
            <w:vAlign w:val="center"/>
          </w:tcPr>
          <w:p>
            <w:pPr>
              <w:jc w:val="center"/>
              <w:rPr>
                <w:rFonts w:ascii="仿宋" w:hAnsi="仿宋" w:eastAsia="仿宋" w:cs="Arial"/>
                <w:kern w:val="0"/>
                <w:szCs w:val="22"/>
              </w:rPr>
            </w:pPr>
            <w:r>
              <w:rPr>
                <w:rFonts w:ascii="仿宋" w:hAnsi="仿宋" w:eastAsia="仿宋" w:cs="Arial"/>
                <w:kern w:val="0"/>
                <w:szCs w:val="22"/>
              </w:rPr>
              <w:t>5</w:t>
            </w:r>
          </w:p>
        </w:tc>
        <w:tc>
          <w:tcPr>
            <w:tcW w:w="345"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合同签订后45日内</w:t>
            </w:r>
          </w:p>
        </w:tc>
        <w:tc>
          <w:tcPr>
            <w:tcW w:w="299" w:type="pct"/>
            <w:vAlign w:val="center"/>
          </w:tcPr>
          <w:p>
            <w:pPr>
              <w:widowControl/>
              <w:jc w:val="center"/>
              <w:rPr>
                <w:rFonts w:ascii="仿宋" w:hAnsi="仿宋" w:eastAsia="仿宋" w:cs="Arial"/>
                <w:kern w:val="0"/>
                <w:szCs w:val="22"/>
              </w:rPr>
            </w:pPr>
            <w:r>
              <w:rPr>
                <w:rFonts w:hint="eastAsia" w:ascii="仿宋" w:hAnsi="仿宋" w:eastAsia="仿宋" w:cs="Arial"/>
                <w:kern w:val="0"/>
                <w:szCs w:val="22"/>
              </w:rPr>
              <w:t>3年</w:t>
            </w:r>
          </w:p>
        </w:tc>
        <w:tc>
          <w:tcPr>
            <w:tcW w:w="319"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买方指定仓库地面交货</w:t>
            </w:r>
          </w:p>
        </w:tc>
        <w:tc>
          <w:tcPr>
            <w:tcW w:w="510" w:type="pct"/>
            <w:vMerge w:val="continue"/>
            <w:tcBorders/>
            <w:shd w:val="clear" w:color="auto" w:fill="auto"/>
            <w:vAlign w:val="center"/>
          </w:tcPr>
          <w:p>
            <w:pPr>
              <w:widowControl/>
              <w:jc w:val="center"/>
              <w:rPr>
                <w:rFonts w:hint="eastAsia" w:ascii="仿宋" w:hAnsi="仿宋" w:eastAsia="仿宋" w:cs="Arial"/>
                <w:kern w:val="0"/>
                <w:szCs w:val="22"/>
              </w:rPr>
            </w:pPr>
          </w:p>
        </w:tc>
        <w:tc>
          <w:tcPr>
            <w:tcW w:w="408" w:type="pct"/>
            <w:vMerge w:val="continue"/>
            <w:tcBorders/>
            <w:shd w:val="clear" w:color="auto" w:fill="auto"/>
            <w:vAlign w:val="center"/>
          </w:tcPr>
          <w:p>
            <w:pPr>
              <w:widowControl/>
              <w:jc w:val="center"/>
              <w:rPr>
                <w:rFonts w:hint="eastAsia" w:ascii="仿宋" w:hAnsi="仿宋" w:eastAsia="仿宋" w:cs="Arial"/>
                <w:kern w:val="0"/>
                <w:szCs w:val="22"/>
              </w:rPr>
            </w:pPr>
          </w:p>
        </w:tc>
        <w:tc>
          <w:tcPr>
            <w:tcW w:w="364" w:type="pct"/>
            <w:vMerge w:val="continue"/>
            <w:tcBorders/>
            <w:shd w:val="clear" w:color="auto" w:fill="auto"/>
            <w:vAlign w:val="center"/>
          </w:tcPr>
          <w:p>
            <w:pPr>
              <w:widowControl/>
              <w:jc w:val="center"/>
              <w:rPr>
                <w:rFonts w:hint="eastAsia" w:ascii="仿宋" w:hAnsi="仿宋" w:eastAsia="仿宋" w:cs="Arial"/>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246" w:type="pct"/>
            <w:vMerge w:val="continue"/>
            <w:vAlign w:val="center"/>
          </w:tcPr>
          <w:p>
            <w:pPr>
              <w:widowControl/>
              <w:jc w:val="center"/>
              <w:rPr>
                <w:rFonts w:ascii="仿宋" w:hAnsi="仿宋" w:eastAsia="仿宋" w:cs="Arial"/>
                <w:kern w:val="0"/>
                <w:szCs w:val="22"/>
              </w:rPr>
            </w:pPr>
          </w:p>
        </w:tc>
        <w:tc>
          <w:tcPr>
            <w:tcW w:w="454" w:type="pct"/>
            <w:shd w:val="clear" w:color="auto" w:fill="auto"/>
            <w:vAlign w:val="center"/>
          </w:tcPr>
          <w:p>
            <w:pPr>
              <w:jc w:val="center"/>
              <w:rPr>
                <w:rFonts w:ascii="仿宋" w:hAnsi="仿宋" w:eastAsia="仿宋"/>
                <w:kern w:val="0"/>
                <w:szCs w:val="22"/>
              </w:rPr>
            </w:pPr>
            <w:r>
              <w:rPr>
                <w:rFonts w:hint="eastAsia" w:ascii="仿宋" w:hAnsi="仿宋" w:eastAsia="仿宋"/>
                <w:kern w:val="0"/>
                <w:szCs w:val="22"/>
              </w:rPr>
              <w:t>电缆自动收放模块</w:t>
            </w:r>
          </w:p>
        </w:tc>
        <w:tc>
          <w:tcPr>
            <w:tcW w:w="1573" w:type="pct"/>
            <w:shd w:val="clear" w:color="auto" w:fill="FFFFFF" w:themeFill="background1"/>
            <w:vAlign w:val="center"/>
          </w:tcPr>
          <w:p>
            <w:pPr>
              <w:tabs>
                <w:tab w:val="left" w:pos="641"/>
              </w:tabs>
              <w:jc w:val="left"/>
              <w:rPr>
                <w:rFonts w:ascii="仿宋" w:hAnsi="仿宋" w:eastAsia="仿宋"/>
                <w:kern w:val="0"/>
                <w:sz w:val="20"/>
                <w:szCs w:val="22"/>
              </w:rPr>
            </w:pPr>
            <w:r>
              <w:rPr>
                <w:rFonts w:hint="eastAsia" w:ascii="仿宋" w:hAnsi="仿宋" w:eastAsia="仿宋"/>
                <w:kern w:val="0"/>
                <w:sz w:val="20"/>
                <w:szCs w:val="22"/>
              </w:rPr>
              <w:t>收线功能：控制电机转速以匹配车速，线缆随着车辆行走同步收回；</w:t>
            </w:r>
          </w:p>
          <w:p>
            <w:pPr>
              <w:tabs>
                <w:tab w:val="left" w:pos="641"/>
              </w:tabs>
              <w:jc w:val="left"/>
              <w:rPr>
                <w:rFonts w:ascii="仿宋" w:hAnsi="仿宋" w:eastAsia="仿宋"/>
                <w:kern w:val="0"/>
                <w:sz w:val="20"/>
                <w:szCs w:val="22"/>
              </w:rPr>
            </w:pPr>
            <w:r>
              <w:rPr>
                <w:rFonts w:hint="eastAsia" w:ascii="仿宋" w:hAnsi="仿宋" w:eastAsia="仿宋"/>
                <w:kern w:val="0"/>
                <w:sz w:val="20"/>
                <w:szCs w:val="22"/>
              </w:rPr>
              <w:t>放线功能：线缆放下时通过自身重力滑落无需电机工作。</w:t>
            </w:r>
          </w:p>
        </w:tc>
        <w:tc>
          <w:tcPr>
            <w:tcW w:w="236" w:type="pct"/>
            <w:shd w:val="clear" w:color="000000" w:fill="FFFFFF"/>
            <w:vAlign w:val="center"/>
          </w:tcPr>
          <w:p>
            <w:pPr>
              <w:widowControl/>
              <w:jc w:val="center"/>
              <w:rPr>
                <w:rFonts w:ascii="仿宋" w:hAnsi="仿宋" w:eastAsia="仿宋" w:cs="Arial"/>
                <w:kern w:val="0"/>
                <w:szCs w:val="22"/>
              </w:rPr>
            </w:pPr>
            <w:r>
              <w:rPr>
                <w:rFonts w:hint="eastAsia" w:ascii="仿宋" w:hAnsi="仿宋" w:eastAsia="仿宋" w:cs="Arial"/>
                <w:kern w:val="0"/>
                <w:szCs w:val="22"/>
              </w:rPr>
              <w:t>套</w:t>
            </w:r>
          </w:p>
        </w:tc>
        <w:tc>
          <w:tcPr>
            <w:tcW w:w="243" w:type="pct"/>
            <w:shd w:val="clear" w:color="000000" w:fill="FFFFFF"/>
            <w:vAlign w:val="center"/>
          </w:tcPr>
          <w:p>
            <w:pPr>
              <w:jc w:val="center"/>
              <w:rPr>
                <w:rFonts w:ascii="仿宋" w:hAnsi="仿宋" w:eastAsia="仿宋" w:cs="Arial"/>
                <w:kern w:val="0"/>
                <w:szCs w:val="22"/>
              </w:rPr>
            </w:pPr>
            <w:r>
              <w:rPr>
                <w:rFonts w:ascii="仿宋" w:hAnsi="仿宋" w:eastAsia="仿宋" w:cs="Arial"/>
                <w:kern w:val="0"/>
                <w:szCs w:val="22"/>
              </w:rPr>
              <w:t>5</w:t>
            </w:r>
          </w:p>
        </w:tc>
        <w:tc>
          <w:tcPr>
            <w:tcW w:w="345"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合同签订后45日内</w:t>
            </w:r>
          </w:p>
        </w:tc>
        <w:tc>
          <w:tcPr>
            <w:tcW w:w="299" w:type="pct"/>
            <w:vAlign w:val="center"/>
          </w:tcPr>
          <w:p>
            <w:pPr>
              <w:widowControl/>
              <w:jc w:val="center"/>
              <w:rPr>
                <w:rFonts w:ascii="仿宋" w:hAnsi="仿宋" w:eastAsia="仿宋" w:cs="Arial"/>
                <w:kern w:val="0"/>
                <w:szCs w:val="22"/>
              </w:rPr>
            </w:pPr>
            <w:r>
              <w:rPr>
                <w:rFonts w:hint="eastAsia" w:ascii="仿宋" w:hAnsi="仿宋" w:eastAsia="仿宋" w:cs="Arial"/>
                <w:kern w:val="0"/>
                <w:szCs w:val="22"/>
              </w:rPr>
              <w:t>3年</w:t>
            </w:r>
          </w:p>
        </w:tc>
        <w:tc>
          <w:tcPr>
            <w:tcW w:w="319"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买方指定仓库地面交货</w:t>
            </w:r>
          </w:p>
        </w:tc>
        <w:tc>
          <w:tcPr>
            <w:tcW w:w="510" w:type="pct"/>
            <w:vMerge w:val="continue"/>
            <w:tcBorders/>
            <w:shd w:val="clear" w:color="auto" w:fill="auto"/>
            <w:vAlign w:val="center"/>
          </w:tcPr>
          <w:p>
            <w:pPr>
              <w:widowControl/>
              <w:jc w:val="center"/>
              <w:rPr>
                <w:rFonts w:hint="eastAsia" w:ascii="仿宋" w:hAnsi="仿宋" w:eastAsia="仿宋" w:cs="Arial"/>
                <w:kern w:val="0"/>
                <w:szCs w:val="22"/>
              </w:rPr>
            </w:pPr>
          </w:p>
        </w:tc>
        <w:tc>
          <w:tcPr>
            <w:tcW w:w="408" w:type="pct"/>
            <w:vMerge w:val="continue"/>
            <w:tcBorders/>
            <w:shd w:val="clear" w:color="auto" w:fill="auto"/>
            <w:vAlign w:val="center"/>
          </w:tcPr>
          <w:p>
            <w:pPr>
              <w:widowControl/>
              <w:jc w:val="center"/>
              <w:rPr>
                <w:rFonts w:hint="eastAsia" w:ascii="仿宋" w:hAnsi="仿宋" w:eastAsia="仿宋" w:cs="Arial"/>
                <w:kern w:val="0"/>
                <w:szCs w:val="22"/>
              </w:rPr>
            </w:pPr>
          </w:p>
        </w:tc>
        <w:tc>
          <w:tcPr>
            <w:tcW w:w="364" w:type="pct"/>
            <w:vMerge w:val="continue"/>
            <w:tcBorders/>
            <w:shd w:val="clear" w:color="auto" w:fill="auto"/>
            <w:vAlign w:val="center"/>
          </w:tcPr>
          <w:p>
            <w:pPr>
              <w:widowControl/>
              <w:jc w:val="center"/>
              <w:rPr>
                <w:rFonts w:hint="eastAsia" w:ascii="仿宋" w:hAnsi="仿宋" w:eastAsia="仿宋" w:cs="Arial"/>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246" w:type="pct"/>
            <w:vMerge w:val="continue"/>
            <w:vAlign w:val="center"/>
          </w:tcPr>
          <w:p>
            <w:pPr>
              <w:widowControl/>
              <w:jc w:val="center"/>
              <w:rPr>
                <w:rFonts w:ascii="仿宋" w:hAnsi="仿宋" w:eastAsia="仿宋" w:cs="Arial"/>
                <w:kern w:val="0"/>
                <w:szCs w:val="22"/>
              </w:rPr>
            </w:pPr>
          </w:p>
        </w:tc>
        <w:tc>
          <w:tcPr>
            <w:tcW w:w="454" w:type="pct"/>
            <w:shd w:val="clear" w:color="auto" w:fill="auto"/>
            <w:vAlign w:val="center"/>
          </w:tcPr>
          <w:p>
            <w:pPr>
              <w:jc w:val="center"/>
              <w:rPr>
                <w:rFonts w:ascii="仿宋" w:hAnsi="仿宋" w:eastAsia="仿宋"/>
                <w:kern w:val="0"/>
                <w:szCs w:val="22"/>
              </w:rPr>
            </w:pPr>
            <w:r>
              <w:rPr>
                <w:rFonts w:hint="eastAsia" w:ascii="仿宋" w:hAnsi="仿宋" w:eastAsia="仿宋"/>
                <w:kern w:val="0"/>
                <w:szCs w:val="22"/>
              </w:rPr>
              <w:t>人机交互模块及控制软件</w:t>
            </w:r>
          </w:p>
        </w:tc>
        <w:tc>
          <w:tcPr>
            <w:tcW w:w="1573" w:type="pct"/>
            <w:shd w:val="clear" w:color="auto" w:fill="FFFFFF" w:themeFill="background1"/>
            <w:vAlign w:val="center"/>
          </w:tcPr>
          <w:p>
            <w:pPr>
              <w:tabs>
                <w:tab w:val="left" w:pos="641"/>
              </w:tabs>
              <w:jc w:val="left"/>
              <w:rPr>
                <w:rFonts w:ascii="仿宋" w:hAnsi="仿宋" w:eastAsia="仿宋"/>
                <w:kern w:val="0"/>
                <w:sz w:val="20"/>
                <w:szCs w:val="22"/>
              </w:rPr>
            </w:pPr>
            <w:r>
              <w:rPr>
                <w:rFonts w:hint="eastAsia" w:ascii="仿宋" w:hAnsi="仿宋" w:eastAsia="仿宋"/>
                <w:kern w:val="0"/>
                <w:sz w:val="20"/>
                <w:szCs w:val="22"/>
              </w:rPr>
              <w:t>工作人员可在可视遥控器上实时观看末端执行器上视觉相机反馈的画面，为抓取电缆接头作业提供辅助。</w:t>
            </w:r>
          </w:p>
        </w:tc>
        <w:tc>
          <w:tcPr>
            <w:tcW w:w="236" w:type="pct"/>
            <w:shd w:val="clear" w:color="000000" w:fill="FFFFFF"/>
            <w:vAlign w:val="center"/>
          </w:tcPr>
          <w:p>
            <w:pPr>
              <w:widowControl/>
              <w:jc w:val="center"/>
              <w:rPr>
                <w:rFonts w:ascii="仿宋" w:hAnsi="仿宋" w:eastAsia="仿宋" w:cs="Arial"/>
                <w:kern w:val="0"/>
                <w:szCs w:val="22"/>
              </w:rPr>
            </w:pPr>
            <w:r>
              <w:rPr>
                <w:rFonts w:hint="eastAsia" w:ascii="仿宋" w:hAnsi="仿宋" w:eastAsia="仿宋" w:cs="Arial"/>
                <w:kern w:val="0"/>
                <w:szCs w:val="22"/>
              </w:rPr>
              <w:t>套</w:t>
            </w:r>
          </w:p>
        </w:tc>
        <w:tc>
          <w:tcPr>
            <w:tcW w:w="243" w:type="pct"/>
            <w:shd w:val="clear" w:color="000000" w:fill="FFFFFF"/>
            <w:vAlign w:val="center"/>
          </w:tcPr>
          <w:p>
            <w:pPr>
              <w:jc w:val="center"/>
              <w:rPr>
                <w:rFonts w:ascii="仿宋" w:hAnsi="仿宋" w:eastAsia="仿宋" w:cs="Arial"/>
                <w:kern w:val="0"/>
                <w:szCs w:val="22"/>
              </w:rPr>
            </w:pPr>
            <w:r>
              <w:rPr>
                <w:rFonts w:ascii="仿宋" w:hAnsi="仿宋" w:eastAsia="仿宋" w:cs="Arial"/>
                <w:kern w:val="0"/>
                <w:szCs w:val="22"/>
              </w:rPr>
              <w:t>5</w:t>
            </w:r>
          </w:p>
        </w:tc>
        <w:tc>
          <w:tcPr>
            <w:tcW w:w="345"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合同签订后45日内</w:t>
            </w:r>
          </w:p>
        </w:tc>
        <w:tc>
          <w:tcPr>
            <w:tcW w:w="299" w:type="pct"/>
            <w:vAlign w:val="center"/>
          </w:tcPr>
          <w:p>
            <w:pPr>
              <w:widowControl/>
              <w:jc w:val="center"/>
              <w:rPr>
                <w:rFonts w:ascii="仿宋" w:hAnsi="仿宋" w:eastAsia="仿宋" w:cs="Arial"/>
                <w:kern w:val="0"/>
                <w:szCs w:val="22"/>
              </w:rPr>
            </w:pPr>
            <w:r>
              <w:rPr>
                <w:rFonts w:hint="eastAsia" w:ascii="仿宋" w:hAnsi="仿宋" w:eastAsia="仿宋" w:cs="Arial"/>
                <w:kern w:val="0"/>
                <w:szCs w:val="22"/>
              </w:rPr>
              <w:t>3年</w:t>
            </w:r>
          </w:p>
        </w:tc>
        <w:tc>
          <w:tcPr>
            <w:tcW w:w="319"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买方指定仓库地面交货</w:t>
            </w:r>
          </w:p>
        </w:tc>
        <w:tc>
          <w:tcPr>
            <w:tcW w:w="510" w:type="pct"/>
            <w:vMerge w:val="continue"/>
            <w:tcBorders/>
            <w:shd w:val="clear" w:color="auto" w:fill="auto"/>
            <w:vAlign w:val="center"/>
          </w:tcPr>
          <w:p>
            <w:pPr>
              <w:widowControl/>
              <w:jc w:val="center"/>
              <w:rPr>
                <w:rFonts w:hint="eastAsia" w:ascii="仿宋" w:hAnsi="仿宋" w:eastAsia="仿宋" w:cs="Arial"/>
                <w:kern w:val="0"/>
                <w:szCs w:val="22"/>
              </w:rPr>
            </w:pPr>
          </w:p>
        </w:tc>
        <w:tc>
          <w:tcPr>
            <w:tcW w:w="408" w:type="pct"/>
            <w:vMerge w:val="continue"/>
            <w:tcBorders/>
            <w:shd w:val="clear" w:color="auto" w:fill="auto"/>
            <w:vAlign w:val="center"/>
          </w:tcPr>
          <w:p>
            <w:pPr>
              <w:widowControl/>
              <w:jc w:val="center"/>
              <w:rPr>
                <w:rFonts w:hint="eastAsia" w:ascii="仿宋" w:hAnsi="仿宋" w:eastAsia="仿宋" w:cs="Arial"/>
                <w:kern w:val="0"/>
                <w:szCs w:val="22"/>
              </w:rPr>
            </w:pPr>
          </w:p>
        </w:tc>
        <w:tc>
          <w:tcPr>
            <w:tcW w:w="364" w:type="pct"/>
            <w:vMerge w:val="continue"/>
            <w:tcBorders/>
            <w:shd w:val="clear" w:color="auto" w:fill="auto"/>
            <w:vAlign w:val="center"/>
          </w:tcPr>
          <w:p>
            <w:pPr>
              <w:widowControl/>
              <w:jc w:val="center"/>
              <w:rPr>
                <w:rFonts w:hint="eastAsia" w:ascii="仿宋" w:hAnsi="仿宋" w:eastAsia="仿宋" w:cs="Arial"/>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46" w:type="pct"/>
            <w:vMerge w:val="continue"/>
            <w:vAlign w:val="center"/>
          </w:tcPr>
          <w:p>
            <w:pPr>
              <w:widowControl/>
              <w:jc w:val="center"/>
              <w:rPr>
                <w:rFonts w:ascii="仿宋" w:hAnsi="仿宋" w:eastAsia="仿宋" w:cs="Arial"/>
                <w:kern w:val="0"/>
                <w:szCs w:val="22"/>
              </w:rPr>
            </w:pPr>
          </w:p>
        </w:tc>
        <w:tc>
          <w:tcPr>
            <w:tcW w:w="454" w:type="pct"/>
            <w:shd w:val="clear" w:color="auto" w:fill="auto"/>
            <w:vAlign w:val="center"/>
          </w:tcPr>
          <w:p>
            <w:pPr>
              <w:jc w:val="center"/>
              <w:rPr>
                <w:rFonts w:ascii="仿宋" w:hAnsi="仿宋" w:eastAsia="仿宋"/>
                <w:kern w:val="0"/>
                <w:szCs w:val="22"/>
              </w:rPr>
            </w:pPr>
            <w:r>
              <w:rPr>
                <w:rFonts w:hint="eastAsia" w:ascii="仿宋" w:hAnsi="仿宋" w:eastAsia="仿宋"/>
                <w:kern w:val="0"/>
                <w:szCs w:val="22"/>
              </w:rPr>
              <w:t>导航模块</w:t>
            </w:r>
          </w:p>
        </w:tc>
        <w:tc>
          <w:tcPr>
            <w:tcW w:w="1573" w:type="pct"/>
            <w:shd w:val="clear" w:color="auto" w:fill="FFFFFF" w:themeFill="background1"/>
            <w:vAlign w:val="center"/>
          </w:tcPr>
          <w:p>
            <w:pPr>
              <w:tabs>
                <w:tab w:val="left" w:pos="641"/>
              </w:tabs>
              <w:jc w:val="left"/>
              <w:rPr>
                <w:rFonts w:ascii="仿宋" w:hAnsi="仿宋" w:eastAsia="仿宋"/>
                <w:kern w:val="0"/>
                <w:sz w:val="20"/>
                <w:szCs w:val="22"/>
              </w:rPr>
            </w:pPr>
            <w:r>
              <w:rPr>
                <w:rFonts w:hint="eastAsia" w:ascii="仿宋" w:hAnsi="仿宋" w:eastAsia="仿宋"/>
                <w:kern w:val="0"/>
                <w:sz w:val="20"/>
                <w:szCs w:val="22"/>
              </w:rPr>
              <w:t>具备自主定位、路径规划等功能。</w:t>
            </w:r>
          </w:p>
        </w:tc>
        <w:tc>
          <w:tcPr>
            <w:tcW w:w="236" w:type="pct"/>
            <w:shd w:val="clear" w:color="000000" w:fill="FFFFFF"/>
            <w:vAlign w:val="center"/>
          </w:tcPr>
          <w:p>
            <w:pPr>
              <w:widowControl/>
              <w:jc w:val="center"/>
              <w:rPr>
                <w:rFonts w:ascii="仿宋" w:hAnsi="仿宋" w:eastAsia="仿宋" w:cs="Arial"/>
                <w:kern w:val="0"/>
                <w:szCs w:val="22"/>
              </w:rPr>
            </w:pPr>
            <w:r>
              <w:rPr>
                <w:rFonts w:hint="eastAsia" w:ascii="仿宋" w:hAnsi="仿宋" w:eastAsia="仿宋" w:cs="Arial"/>
                <w:kern w:val="0"/>
                <w:szCs w:val="22"/>
              </w:rPr>
              <w:t>套</w:t>
            </w:r>
          </w:p>
        </w:tc>
        <w:tc>
          <w:tcPr>
            <w:tcW w:w="243" w:type="pct"/>
            <w:shd w:val="clear" w:color="000000" w:fill="FFFFFF"/>
            <w:vAlign w:val="center"/>
          </w:tcPr>
          <w:p>
            <w:pPr>
              <w:jc w:val="center"/>
              <w:rPr>
                <w:rFonts w:ascii="仿宋" w:hAnsi="仿宋" w:eastAsia="仿宋"/>
                <w:kern w:val="0"/>
                <w:szCs w:val="22"/>
              </w:rPr>
            </w:pPr>
            <w:r>
              <w:rPr>
                <w:rFonts w:ascii="仿宋" w:hAnsi="仿宋" w:eastAsia="仿宋" w:cs="Arial"/>
                <w:kern w:val="0"/>
                <w:szCs w:val="22"/>
              </w:rPr>
              <w:t>5</w:t>
            </w:r>
          </w:p>
        </w:tc>
        <w:tc>
          <w:tcPr>
            <w:tcW w:w="345"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合同签订后45日内</w:t>
            </w:r>
          </w:p>
        </w:tc>
        <w:tc>
          <w:tcPr>
            <w:tcW w:w="299" w:type="pct"/>
            <w:vAlign w:val="center"/>
          </w:tcPr>
          <w:p>
            <w:pPr>
              <w:widowControl/>
              <w:jc w:val="center"/>
              <w:rPr>
                <w:rFonts w:ascii="仿宋" w:hAnsi="仿宋" w:eastAsia="仿宋" w:cs="Arial"/>
                <w:kern w:val="0"/>
                <w:szCs w:val="22"/>
              </w:rPr>
            </w:pPr>
            <w:r>
              <w:rPr>
                <w:rFonts w:hint="eastAsia" w:ascii="仿宋" w:hAnsi="仿宋" w:eastAsia="仿宋" w:cs="Arial"/>
                <w:kern w:val="0"/>
                <w:szCs w:val="22"/>
              </w:rPr>
              <w:t>3年</w:t>
            </w:r>
          </w:p>
        </w:tc>
        <w:tc>
          <w:tcPr>
            <w:tcW w:w="319" w:type="pct"/>
            <w:shd w:val="clear" w:color="auto" w:fill="auto"/>
            <w:vAlign w:val="center"/>
          </w:tcPr>
          <w:p>
            <w:pPr>
              <w:widowControl/>
              <w:jc w:val="center"/>
              <w:rPr>
                <w:rFonts w:ascii="仿宋" w:hAnsi="仿宋" w:eastAsia="仿宋" w:cs="Arial"/>
                <w:kern w:val="0"/>
                <w:szCs w:val="22"/>
              </w:rPr>
            </w:pPr>
            <w:r>
              <w:rPr>
                <w:rFonts w:hint="eastAsia" w:ascii="仿宋" w:hAnsi="仿宋" w:eastAsia="仿宋" w:cs="Arial"/>
                <w:kern w:val="0"/>
                <w:szCs w:val="22"/>
              </w:rPr>
              <w:t>买方指定仓库地面交货</w:t>
            </w:r>
          </w:p>
        </w:tc>
        <w:tc>
          <w:tcPr>
            <w:tcW w:w="510" w:type="pct"/>
            <w:vMerge w:val="continue"/>
            <w:tcBorders/>
            <w:shd w:val="clear" w:color="auto" w:fill="auto"/>
            <w:vAlign w:val="center"/>
          </w:tcPr>
          <w:p>
            <w:pPr>
              <w:widowControl/>
              <w:jc w:val="center"/>
              <w:rPr>
                <w:rFonts w:hint="eastAsia" w:ascii="仿宋" w:hAnsi="仿宋" w:eastAsia="仿宋" w:cs="Arial"/>
                <w:kern w:val="0"/>
                <w:szCs w:val="22"/>
              </w:rPr>
            </w:pPr>
          </w:p>
        </w:tc>
        <w:tc>
          <w:tcPr>
            <w:tcW w:w="408" w:type="pct"/>
            <w:vMerge w:val="continue"/>
            <w:tcBorders/>
            <w:shd w:val="clear" w:color="auto" w:fill="auto"/>
            <w:vAlign w:val="center"/>
          </w:tcPr>
          <w:p>
            <w:pPr>
              <w:widowControl/>
              <w:jc w:val="center"/>
              <w:rPr>
                <w:rFonts w:hint="eastAsia" w:ascii="仿宋" w:hAnsi="仿宋" w:eastAsia="仿宋" w:cs="Arial"/>
                <w:kern w:val="0"/>
                <w:szCs w:val="22"/>
              </w:rPr>
            </w:pPr>
          </w:p>
        </w:tc>
        <w:tc>
          <w:tcPr>
            <w:tcW w:w="364" w:type="pct"/>
            <w:vMerge w:val="continue"/>
            <w:tcBorders/>
            <w:shd w:val="clear" w:color="auto" w:fill="auto"/>
            <w:vAlign w:val="center"/>
          </w:tcPr>
          <w:p>
            <w:pPr>
              <w:widowControl/>
              <w:jc w:val="center"/>
              <w:rPr>
                <w:rFonts w:hint="eastAsia" w:ascii="仿宋" w:hAnsi="仿宋" w:eastAsia="仿宋" w:cs="Arial"/>
                <w:kern w:val="0"/>
                <w:szCs w:val="22"/>
              </w:rPr>
            </w:pP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3B0202-EC4D-46D1-B739-D88193620599}"/>
  </w:font>
  <w:font w:name="Arial">
    <w:panose1 w:val="020B0604020202020204"/>
    <w:charset w:val="01"/>
    <w:family w:val="swiss"/>
    <w:pitch w:val="default"/>
    <w:sig w:usb0="E0002EFF" w:usb1="C000785B" w:usb2="00000009" w:usb3="00000000" w:csb0="400001FF" w:csb1="FFFF0000"/>
    <w:embedRegular r:id="rId2" w:fontKey="{6076182B-C34D-44F6-861D-5058D0BBAD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B630C05-3F09-4076-B360-C2AEC6ED470C}"/>
  </w:font>
  <w:font w:name="Symbol">
    <w:panose1 w:val="05050102010706020507"/>
    <w:charset w:val="02"/>
    <w:family w:val="roman"/>
    <w:pitch w:val="default"/>
    <w:sig w:usb0="00000000" w:usb1="00000000" w:usb2="00000000" w:usb3="00000000" w:csb0="80000000" w:csb1="00000000"/>
    <w:embedRegular r:id="rId4" w:fontKey="{953C6B6E-9D41-4356-8EA1-54371B60C35F}"/>
  </w:font>
  <w:font w:name="Calibri">
    <w:panose1 w:val="020F0502020204030204"/>
    <w:charset w:val="00"/>
    <w:family w:val="swiss"/>
    <w:pitch w:val="default"/>
    <w:sig w:usb0="E4002EFF" w:usb1="C000247B" w:usb2="00000009" w:usb3="00000000" w:csb0="200001FF" w:csb1="00000000"/>
    <w:embedRegular r:id="rId5" w:fontKey="{15DC678E-3D98-43EA-A354-35C556DED53E}"/>
  </w:font>
  <w:font w:name="方正仿宋_GBK">
    <w:panose1 w:val="03000509000000000000"/>
    <w:charset w:val="86"/>
    <w:family w:val="auto"/>
    <w:pitch w:val="default"/>
    <w:sig w:usb0="00000001" w:usb1="080E0000" w:usb2="00000000" w:usb3="00000000" w:csb0="00040000" w:csb1="00000000"/>
    <w:embedRegular r:id="rId6" w:fontKey="{195F43C8-DB37-4132-8E71-8019792FC86E}"/>
  </w:font>
  <w:font w:name="仿宋">
    <w:panose1 w:val="02010609060101010101"/>
    <w:charset w:val="86"/>
    <w:family w:val="modern"/>
    <w:pitch w:val="default"/>
    <w:sig w:usb0="800002BF" w:usb1="38CF7CFA" w:usb2="00000016" w:usb3="00000000" w:csb0="00040001" w:csb1="00000000"/>
    <w:embedRegular r:id="rId7" w:fontKey="{413D6D8F-1401-4496-8A0E-15EA247D4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4889"/>
    <w:multiLevelType w:val="singleLevel"/>
    <w:tmpl w:val="1074488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375675D"/>
    <w:rsid w:val="06044745"/>
    <w:rsid w:val="080009FA"/>
    <w:rsid w:val="0A4424C4"/>
    <w:rsid w:val="0C7B70CD"/>
    <w:rsid w:val="0D59143A"/>
    <w:rsid w:val="0FB8241C"/>
    <w:rsid w:val="108F1101"/>
    <w:rsid w:val="11235341"/>
    <w:rsid w:val="1A470395"/>
    <w:rsid w:val="1C484EDE"/>
    <w:rsid w:val="1D257E85"/>
    <w:rsid w:val="1D544F92"/>
    <w:rsid w:val="22A54ADD"/>
    <w:rsid w:val="2A102A40"/>
    <w:rsid w:val="2DA048C3"/>
    <w:rsid w:val="307A5B8E"/>
    <w:rsid w:val="31F35F98"/>
    <w:rsid w:val="33AA648F"/>
    <w:rsid w:val="39DC1608"/>
    <w:rsid w:val="3A946D05"/>
    <w:rsid w:val="3A963A95"/>
    <w:rsid w:val="3C4640B3"/>
    <w:rsid w:val="3D1F193C"/>
    <w:rsid w:val="3DA0516C"/>
    <w:rsid w:val="3EC13A2D"/>
    <w:rsid w:val="3EF959B6"/>
    <w:rsid w:val="42970BA5"/>
    <w:rsid w:val="43DB1FAB"/>
    <w:rsid w:val="47467ECC"/>
    <w:rsid w:val="48533871"/>
    <w:rsid w:val="4E484849"/>
    <w:rsid w:val="4F85749E"/>
    <w:rsid w:val="502535F1"/>
    <w:rsid w:val="516B6C04"/>
    <w:rsid w:val="525E03F7"/>
    <w:rsid w:val="542B5713"/>
    <w:rsid w:val="54A702DC"/>
    <w:rsid w:val="5550599A"/>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2021-01-08T10:34:14Z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