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cs="Arial"/>
          <w:b/>
          <w:bCs/>
          <w:color w:val="auto"/>
          <w:kern w:val="0"/>
          <w:szCs w:val="21"/>
          <w:highlight w:val="none"/>
        </w:rPr>
      </w:pPr>
      <w:r>
        <w:rPr>
          <w:rFonts w:hint="eastAsia" w:ascii="仿宋" w:hAnsi="仿宋" w:eastAsia="仿宋" w:cs="Arial"/>
          <w:b/>
          <w:bCs/>
          <w:color w:val="auto"/>
          <w:kern w:val="0"/>
          <w:szCs w:val="21"/>
          <w:highlight w:val="none"/>
        </w:rPr>
        <w:t>附件1   招标需求一览表</w:t>
      </w:r>
    </w:p>
    <w:tbl>
      <w:tblPr>
        <w:tblStyle w:val="3"/>
        <w:tblW w:w="13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1522"/>
        <w:gridCol w:w="3138"/>
        <w:gridCol w:w="974"/>
        <w:gridCol w:w="893"/>
        <w:gridCol w:w="813"/>
        <w:gridCol w:w="974"/>
        <w:gridCol w:w="3053"/>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93" w:type="dxa"/>
            <w:vAlign w:val="center"/>
          </w:tcPr>
          <w:p>
            <w:pPr>
              <w:pStyle w:val="5"/>
              <w:widowControl/>
              <w:jc w:val="center"/>
              <w:rPr>
                <w:rFonts w:ascii="仿宋" w:hAnsi="仿宋" w:eastAsia="仿宋" w:cs="Arial"/>
                <w:b/>
                <w:bCs/>
                <w:color w:val="auto"/>
                <w:sz w:val="22"/>
                <w:szCs w:val="22"/>
                <w:highlight w:val="none"/>
              </w:rPr>
            </w:pPr>
            <w:r>
              <w:rPr>
                <w:rFonts w:hint="eastAsia" w:ascii="仿宋" w:hAnsi="仿宋" w:eastAsia="仿宋" w:cs="Arial"/>
                <w:b/>
                <w:bCs/>
                <w:color w:val="auto"/>
                <w:sz w:val="22"/>
                <w:szCs w:val="22"/>
                <w:highlight w:val="none"/>
              </w:rPr>
              <w:t>包号</w:t>
            </w:r>
          </w:p>
        </w:tc>
        <w:tc>
          <w:tcPr>
            <w:tcW w:w="1522" w:type="dxa"/>
            <w:shd w:val="clear" w:color="auto" w:fill="auto"/>
            <w:vAlign w:val="center"/>
          </w:tcPr>
          <w:p>
            <w:pPr>
              <w:pStyle w:val="5"/>
              <w:widowControl/>
              <w:jc w:val="center"/>
              <w:rPr>
                <w:rFonts w:ascii="仿宋" w:hAnsi="仿宋" w:eastAsia="仿宋" w:cs="Arial"/>
                <w:b/>
                <w:bCs/>
                <w:color w:val="auto"/>
                <w:sz w:val="22"/>
                <w:szCs w:val="22"/>
                <w:highlight w:val="none"/>
              </w:rPr>
            </w:pPr>
            <w:r>
              <w:rPr>
                <w:rFonts w:hint="eastAsia" w:ascii="仿宋" w:hAnsi="仿宋" w:eastAsia="仿宋" w:cs="Arial"/>
                <w:b/>
                <w:bCs/>
                <w:color w:val="auto"/>
                <w:sz w:val="22"/>
                <w:szCs w:val="22"/>
                <w:highlight w:val="none"/>
              </w:rPr>
              <w:t>包名称</w:t>
            </w:r>
          </w:p>
        </w:tc>
        <w:tc>
          <w:tcPr>
            <w:tcW w:w="3138" w:type="dxa"/>
            <w:shd w:val="clear" w:color="auto" w:fill="auto"/>
            <w:vAlign w:val="center"/>
          </w:tcPr>
          <w:p>
            <w:pPr>
              <w:pStyle w:val="5"/>
              <w:widowControl/>
              <w:jc w:val="center"/>
              <w:rPr>
                <w:rFonts w:ascii="仿宋" w:hAnsi="仿宋" w:eastAsia="仿宋" w:cs="Arial"/>
                <w:b/>
                <w:bCs/>
                <w:color w:val="auto"/>
                <w:sz w:val="22"/>
                <w:szCs w:val="22"/>
                <w:highlight w:val="none"/>
              </w:rPr>
            </w:pPr>
            <w:r>
              <w:rPr>
                <w:rFonts w:hint="eastAsia" w:ascii="仿宋" w:hAnsi="仿宋" w:eastAsia="仿宋" w:cs="Arial"/>
                <w:b/>
                <w:bCs/>
                <w:color w:val="auto"/>
                <w:sz w:val="22"/>
                <w:szCs w:val="22"/>
                <w:highlight w:val="none"/>
              </w:rPr>
              <w:t>服务内容</w:t>
            </w:r>
          </w:p>
        </w:tc>
        <w:tc>
          <w:tcPr>
            <w:tcW w:w="974" w:type="dxa"/>
            <w:shd w:val="clear" w:color="auto" w:fill="auto"/>
            <w:vAlign w:val="center"/>
          </w:tcPr>
          <w:p>
            <w:pPr>
              <w:pStyle w:val="5"/>
              <w:widowControl/>
              <w:jc w:val="center"/>
              <w:rPr>
                <w:rFonts w:hint="eastAsia" w:ascii="仿宋" w:hAnsi="仿宋" w:eastAsia="仿宋" w:cs="Arial"/>
                <w:b/>
                <w:bCs/>
                <w:color w:val="auto"/>
                <w:sz w:val="22"/>
                <w:szCs w:val="22"/>
                <w:highlight w:val="none"/>
                <w:lang w:val="en-US" w:eastAsia="zh-CN"/>
              </w:rPr>
            </w:pPr>
            <w:r>
              <w:rPr>
                <w:rFonts w:hint="eastAsia" w:ascii="仿宋" w:hAnsi="仿宋" w:eastAsia="仿宋" w:cs="Arial"/>
                <w:b/>
                <w:bCs/>
                <w:color w:val="auto"/>
                <w:sz w:val="22"/>
                <w:szCs w:val="22"/>
                <w:highlight w:val="none"/>
                <w:lang w:val="en-US" w:eastAsia="zh-CN"/>
              </w:rPr>
              <w:t>数量</w:t>
            </w:r>
          </w:p>
        </w:tc>
        <w:tc>
          <w:tcPr>
            <w:tcW w:w="893" w:type="dxa"/>
            <w:shd w:val="clear" w:color="auto" w:fill="auto"/>
            <w:vAlign w:val="center"/>
          </w:tcPr>
          <w:p>
            <w:pPr>
              <w:pStyle w:val="5"/>
              <w:widowControl/>
              <w:jc w:val="center"/>
              <w:rPr>
                <w:rFonts w:hint="eastAsia" w:ascii="仿宋" w:hAnsi="仿宋" w:eastAsia="仿宋" w:cs="Arial"/>
                <w:b/>
                <w:bCs/>
                <w:color w:val="auto"/>
                <w:sz w:val="22"/>
                <w:szCs w:val="22"/>
                <w:highlight w:val="none"/>
                <w:lang w:val="en-US" w:eastAsia="zh-CN"/>
              </w:rPr>
            </w:pPr>
            <w:r>
              <w:rPr>
                <w:rFonts w:hint="eastAsia" w:ascii="仿宋" w:hAnsi="仿宋" w:eastAsia="仿宋" w:cs="Arial"/>
                <w:b/>
                <w:bCs/>
                <w:color w:val="auto"/>
                <w:sz w:val="22"/>
                <w:szCs w:val="22"/>
                <w:highlight w:val="none"/>
                <w:lang w:val="en-US" w:eastAsia="zh-CN"/>
              </w:rPr>
              <w:t>单位</w:t>
            </w:r>
          </w:p>
        </w:tc>
        <w:tc>
          <w:tcPr>
            <w:tcW w:w="813" w:type="dxa"/>
            <w:shd w:val="clear" w:color="auto" w:fill="auto"/>
            <w:vAlign w:val="center"/>
          </w:tcPr>
          <w:p>
            <w:pPr>
              <w:pStyle w:val="5"/>
              <w:widowControl/>
              <w:jc w:val="center"/>
              <w:rPr>
                <w:rFonts w:ascii="仿宋" w:hAnsi="仿宋" w:eastAsia="仿宋" w:cs="Arial"/>
                <w:b/>
                <w:bCs/>
                <w:color w:val="auto"/>
                <w:sz w:val="22"/>
                <w:szCs w:val="22"/>
                <w:highlight w:val="none"/>
              </w:rPr>
            </w:pPr>
            <w:r>
              <w:rPr>
                <w:rFonts w:hint="eastAsia" w:ascii="仿宋" w:hAnsi="仿宋" w:eastAsia="仿宋" w:cs="Arial"/>
                <w:b/>
                <w:bCs/>
                <w:color w:val="auto"/>
                <w:sz w:val="22"/>
                <w:szCs w:val="22"/>
                <w:highlight w:val="none"/>
              </w:rPr>
              <w:t>服务期</w:t>
            </w:r>
          </w:p>
        </w:tc>
        <w:tc>
          <w:tcPr>
            <w:tcW w:w="974" w:type="dxa"/>
            <w:vAlign w:val="center"/>
          </w:tcPr>
          <w:p>
            <w:pPr>
              <w:pStyle w:val="5"/>
              <w:widowControl/>
              <w:jc w:val="center"/>
              <w:rPr>
                <w:rFonts w:ascii="仿宋" w:hAnsi="仿宋" w:eastAsia="仿宋" w:cs="Arial"/>
                <w:b/>
                <w:bCs/>
                <w:color w:val="auto"/>
                <w:sz w:val="22"/>
                <w:szCs w:val="22"/>
                <w:highlight w:val="none"/>
              </w:rPr>
            </w:pPr>
            <w:r>
              <w:rPr>
                <w:rFonts w:hint="eastAsia" w:ascii="仿宋" w:hAnsi="仿宋" w:eastAsia="仿宋" w:cs="Arial"/>
                <w:b/>
                <w:bCs/>
                <w:color w:val="auto"/>
                <w:sz w:val="22"/>
                <w:szCs w:val="22"/>
                <w:highlight w:val="none"/>
              </w:rPr>
              <w:t>质保期</w:t>
            </w:r>
          </w:p>
        </w:tc>
        <w:tc>
          <w:tcPr>
            <w:tcW w:w="3053" w:type="dxa"/>
            <w:vAlign w:val="center"/>
          </w:tcPr>
          <w:p>
            <w:pPr>
              <w:pStyle w:val="5"/>
              <w:widowControl/>
              <w:jc w:val="center"/>
              <w:rPr>
                <w:rFonts w:ascii="仿宋" w:hAnsi="仿宋" w:eastAsia="仿宋" w:cs="Arial"/>
                <w:b/>
                <w:bCs/>
                <w:color w:val="auto"/>
                <w:sz w:val="22"/>
                <w:szCs w:val="22"/>
                <w:highlight w:val="none"/>
              </w:rPr>
            </w:pPr>
            <w:r>
              <w:rPr>
                <w:rFonts w:hint="eastAsia" w:ascii="仿宋" w:hAnsi="仿宋" w:eastAsia="仿宋" w:cs="Arial"/>
                <w:b/>
                <w:bCs/>
                <w:color w:val="auto"/>
                <w:sz w:val="22"/>
                <w:szCs w:val="22"/>
                <w:highlight w:val="none"/>
              </w:rPr>
              <w:t>专用资质要求</w:t>
            </w:r>
          </w:p>
        </w:tc>
        <w:tc>
          <w:tcPr>
            <w:tcW w:w="1316" w:type="dxa"/>
            <w:vAlign w:val="center"/>
          </w:tcPr>
          <w:p>
            <w:pPr>
              <w:pStyle w:val="5"/>
              <w:widowControl/>
              <w:jc w:val="center"/>
              <w:rPr>
                <w:rFonts w:hint="eastAsia" w:ascii="仿宋" w:hAnsi="仿宋" w:eastAsia="仿宋" w:cs="Arial"/>
                <w:b/>
                <w:bCs/>
                <w:color w:val="auto"/>
                <w:sz w:val="22"/>
                <w:szCs w:val="22"/>
                <w:highlight w:val="none"/>
              </w:rPr>
            </w:pPr>
            <w:r>
              <w:rPr>
                <w:rFonts w:hint="eastAsia" w:ascii="仿宋" w:hAnsi="仿宋" w:eastAsia="仿宋" w:cs="Arial"/>
                <w:b/>
                <w:bCs/>
                <w:color w:val="auto"/>
                <w:sz w:val="22"/>
                <w:szCs w:val="22"/>
                <w:highlight w:val="none"/>
              </w:rPr>
              <w:t>保证金金额（万元）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893" w:type="dxa"/>
            <w:vAlign w:val="center"/>
          </w:tcPr>
          <w:p>
            <w:pPr>
              <w:pStyle w:val="5"/>
              <w:widowControl/>
              <w:jc w:val="center"/>
              <w:rPr>
                <w:rFonts w:ascii="仿宋" w:hAnsi="仿宋" w:eastAsia="仿宋" w:cs="Arial"/>
                <w:color w:val="auto"/>
                <w:sz w:val="22"/>
                <w:szCs w:val="22"/>
                <w:highlight w:val="none"/>
              </w:rPr>
            </w:pPr>
            <w:r>
              <w:rPr>
                <w:rFonts w:hint="eastAsia" w:ascii="仿宋" w:hAnsi="仿宋" w:eastAsia="仿宋" w:cs="Arial"/>
                <w:color w:val="auto"/>
                <w:sz w:val="22"/>
                <w:szCs w:val="22"/>
                <w:highlight w:val="none"/>
              </w:rPr>
              <w:t>包1</w:t>
            </w:r>
          </w:p>
        </w:tc>
        <w:tc>
          <w:tcPr>
            <w:tcW w:w="1522" w:type="dxa"/>
            <w:shd w:val="clear" w:color="auto" w:fill="auto"/>
            <w:vAlign w:val="center"/>
          </w:tcPr>
          <w:p>
            <w:pPr>
              <w:keepNext w:val="0"/>
              <w:keepLines w:val="0"/>
              <w:pageBreakBefore w:val="0"/>
              <w:widowControl/>
              <w:kinsoku/>
              <w:wordWrap/>
              <w:overflowPunct/>
              <w:topLinePunct w:val="0"/>
              <w:autoSpaceDE/>
              <w:autoSpaceDN/>
              <w:bidi w:val="0"/>
              <w:jc w:val="center"/>
              <w:textAlignment w:val="auto"/>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变电站在线智能巡视系统安装服务项目（包一）</w:t>
            </w:r>
          </w:p>
        </w:tc>
        <w:tc>
          <w:tcPr>
            <w:tcW w:w="3138" w:type="dxa"/>
            <w:shd w:val="clear" w:color="auto" w:fill="auto"/>
            <w:vAlign w:val="center"/>
          </w:tcPr>
          <w:p>
            <w:pPr>
              <w:keepNext w:val="0"/>
              <w:keepLines w:val="0"/>
              <w:pageBreakBefore w:val="0"/>
              <w:widowControl/>
              <w:kinsoku/>
              <w:wordWrap/>
              <w:overflowPunct/>
              <w:topLinePunct w:val="0"/>
              <w:autoSpaceDE/>
              <w:autoSpaceDN/>
              <w:bidi w:val="0"/>
              <w:jc w:val="left"/>
              <w:textAlignment w:val="auto"/>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变电站在线智能巡视安装服务项目内容包括：高清网络摄像机安装；监控立杆安装；辅助控制箱安装；电源电缆及网线敷设；光纤敷设；各类管材线槽安装；墙面开槽及恢复；电缆沟开挖及回填；后台系统设备安装；屏柜安装；系统接地；防火封堵；所涉及的的建筑和绿化设施拆除和恢复；招标方要求的各类设计外少量的零星施工和用工工作；其它投运站点的少量维护工作。</w:t>
            </w:r>
          </w:p>
        </w:tc>
        <w:tc>
          <w:tcPr>
            <w:tcW w:w="974" w:type="dxa"/>
            <w:shd w:val="clear" w:color="000000" w:fill="FFFFFF"/>
            <w:vAlign w:val="center"/>
          </w:tcPr>
          <w:p>
            <w:pPr>
              <w:keepNext w:val="0"/>
              <w:keepLines w:val="0"/>
              <w:pageBreakBefore w:val="0"/>
              <w:widowControl/>
              <w:kinsoku/>
              <w:wordWrap/>
              <w:overflowPunct/>
              <w:topLinePunct w:val="0"/>
              <w:autoSpaceDE/>
              <w:autoSpaceDN/>
              <w:bidi w:val="0"/>
              <w:jc w:val="center"/>
              <w:textAlignment w:val="auto"/>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75</w:t>
            </w:r>
          </w:p>
        </w:tc>
        <w:tc>
          <w:tcPr>
            <w:tcW w:w="893" w:type="dxa"/>
            <w:shd w:val="clear" w:color="000000" w:fill="FFFFFF"/>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站</w:t>
            </w:r>
          </w:p>
        </w:tc>
        <w:tc>
          <w:tcPr>
            <w:tcW w:w="813"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1年</w:t>
            </w:r>
          </w:p>
        </w:tc>
        <w:tc>
          <w:tcPr>
            <w:tcW w:w="974" w:type="dxa"/>
            <w:vAlign w:val="center"/>
          </w:tcPr>
          <w:p>
            <w:pPr>
              <w:keepNext w:val="0"/>
              <w:keepLines w:val="0"/>
              <w:pageBreakBefore w:val="0"/>
              <w:widowControl/>
              <w:kinsoku/>
              <w:wordWrap/>
              <w:overflowPunct/>
              <w:topLinePunct w:val="0"/>
              <w:autoSpaceDE/>
              <w:autoSpaceDN/>
              <w:bidi w:val="0"/>
              <w:jc w:val="center"/>
              <w:textAlignment w:val="auto"/>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1年</w:t>
            </w:r>
          </w:p>
        </w:tc>
        <w:tc>
          <w:tcPr>
            <w:tcW w:w="3053" w:type="dxa"/>
            <w:vAlign w:val="center"/>
          </w:tcPr>
          <w:p>
            <w:pPr>
              <w:pStyle w:val="5"/>
              <w:widowControl/>
              <w:numPr>
                <w:ilvl w:val="0"/>
                <w:numId w:val="1"/>
              </w:numPr>
              <w:jc w:val="left"/>
              <w:rPr>
                <w:rFonts w:hint="eastAsia" w:ascii="仿宋" w:hAnsi="仿宋" w:eastAsia="仿宋" w:cs="仿宋"/>
                <w:color w:val="auto"/>
                <w:kern w:val="0"/>
                <w:sz w:val="22"/>
                <w:szCs w:val="22"/>
                <w:highlight w:val="none"/>
                <w:lang w:eastAsia="zh-CN"/>
              </w:rPr>
            </w:pPr>
            <w:r>
              <w:rPr>
                <w:rFonts w:hint="eastAsia" w:ascii="仿宋" w:hAnsi="仿宋" w:eastAsia="仿宋" w:cs="仿宋"/>
                <w:b w:val="0"/>
                <w:bCs w:val="0"/>
                <w:color w:val="auto"/>
                <w:kern w:val="0"/>
                <w:sz w:val="22"/>
                <w:szCs w:val="22"/>
                <w:highlight w:val="none"/>
              </w:rPr>
              <w:t>厂商要求</w:t>
            </w:r>
            <w:r>
              <w:rPr>
                <w:rFonts w:hint="eastAsia" w:ascii="仿宋" w:hAnsi="仿宋" w:eastAsia="仿宋" w:cs="仿宋"/>
                <w:b w:val="0"/>
                <w:bCs w:val="0"/>
                <w:color w:val="auto"/>
                <w:kern w:val="0"/>
                <w:sz w:val="22"/>
                <w:szCs w:val="22"/>
                <w:highlight w:val="none"/>
                <w:lang w:eastAsia="zh-CN"/>
              </w:rPr>
              <w:t>：</w:t>
            </w:r>
            <w:r>
              <w:rPr>
                <w:rFonts w:hint="eastAsia" w:ascii="仿宋" w:hAnsi="仿宋" w:eastAsia="仿宋" w:cs="仿宋"/>
                <w:color w:val="auto"/>
                <w:kern w:val="0"/>
                <w:sz w:val="22"/>
                <w:szCs w:val="22"/>
                <w:highlight w:val="none"/>
              </w:rPr>
              <w:t>应答人应具有独立订立合同的法人资格</w:t>
            </w:r>
            <w:r>
              <w:rPr>
                <w:rFonts w:hint="eastAsia" w:ascii="仿宋" w:hAnsi="仿宋" w:eastAsia="仿宋" w:cs="仿宋"/>
                <w:color w:val="auto"/>
                <w:kern w:val="0"/>
                <w:sz w:val="22"/>
                <w:szCs w:val="22"/>
                <w:highlight w:val="none"/>
                <w:lang w:eastAsia="zh-CN"/>
              </w:rPr>
              <w:t>；</w:t>
            </w:r>
          </w:p>
          <w:p>
            <w:pPr>
              <w:pStyle w:val="5"/>
              <w:widowControl/>
              <w:numPr>
                <w:ilvl w:val="0"/>
                <w:numId w:val="1"/>
              </w:numPr>
              <w:jc w:val="left"/>
              <w:rPr>
                <w:rFonts w:hint="eastAsia" w:ascii="仿宋" w:hAnsi="仿宋" w:eastAsia="仿宋" w:cs="宋体"/>
                <w:color w:val="auto"/>
                <w:sz w:val="22"/>
                <w:szCs w:val="22"/>
                <w:highlight w:val="none"/>
                <w:lang w:eastAsia="zh-CN"/>
              </w:rPr>
            </w:pPr>
            <w:r>
              <w:rPr>
                <w:rFonts w:hint="eastAsia" w:ascii="仿宋" w:hAnsi="仿宋" w:eastAsia="仿宋" w:cs="仿宋"/>
                <w:b w:val="0"/>
                <w:bCs w:val="0"/>
                <w:color w:val="auto"/>
                <w:kern w:val="0"/>
                <w:sz w:val="22"/>
                <w:szCs w:val="22"/>
                <w:highlight w:val="none"/>
              </w:rPr>
              <w:t>有效的安全生产许可证</w:t>
            </w:r>
            <w:r>
              <w:rPr>
                <w:rFonts w:hint="eastAsia" w:ascii="仿宋" w:hAnsi="仿宋" w:eastAsia="仿宋" w:cs="仿宋"/>
                <w:b w:val="0"/>
                <w:bCs w:val="0"/>
                <w:color w:val="auto"/>
                <w:kern w:val="0"/>
                <w:sz w:val="22"/>
                <w:szCs w:val="22"/>
                <w:highlight w:val="none"/>
                <w:lang w:eastAsia="zh-CN"/>
              </w:rPr>
              <w:t>：</w:t>
            </w:r>
            <w:r>
              <w:rPr>
                <w:rFonts w:hint="eastAsia" w:ascii="仿宋" w:hAnsi="仿宋" w:eastAsia="仿宋" w:cs="仿宋"/>
                <w:color w:val="auto"/>
                <w:kern w:val="0"/>
                <w:sz w:val="22"/>
                <w:szCs w:val="22"/>
                <w:highlight w:val="none"/>
              </w:rPr>
              <w:t>有效期内的安全生产许可证件</w:t>
            </w:r>
            <w:r>
              <w:rPr>
                <w:rFonts w:hint="eastAsia" w:ascii="仿宋" w:hAnsi="仿宋" w:eastAsia="仿宋" w:cs="仿宋"/>
                <w:color w:val="auto"/>
                <w:kern w:val="0"/>
                <w:sz w:val="22"/>
                <w:szCs w:val="22"/>
                <w:highlight w:val="none"/>
                <w:lang w:eastAsia="zh-CN"/>
              </w:rPr>
              <w:t>；</w:t>
            </w:r>
          </w:p>
          <w:p>
            <w:pPr>
              <w:pStyle w:val="5"/>
              <w:widowControl/>
              <w:numPr>
                <w:ilvl w:val="0"/>
                <w:numId w:val="1"/>
              </w:numPr>
              <w:jc w:val="left"/>
              <w:rPr>
                <w:rFonts w:hint="eastAsia" w:ascii="仿宋" w:hAnsi="仿宋" w:eastAsia="仿宋" w:cs="宋体"/>
                <w:color w:val="auto"/>
                <w:sz w:val="22"/>
                <w:szCs w:val="22"/>
                <w:highlight w:val="none"/>
                <w:lang w:eastAsia="zh-CN"/>
              </w:rPr>
            </w:pPr>
            <w:r>
              <w:rPr>
                <w:rFonts w:hint="eastAsia" w:ascii="仿宋" w:hAnsi="仿宋" w:eastAsia="仿宋" w:cs="仿宋"/>
                <w:b w:val="0"/>
                <w:bCs w:val="0"/>
                <w:color w:val="auto"/>
                <w:kern w:val="0"/>
                <w:sz w:val="22"/>
                <w:szCs w:val="22"/>
                <w:highlight w:val="none"/>
              </w:rPr>
              <w:t>有效的资质等级证书</w:t>
            </w:r>
            <w:r>
              <w:rPr>
                <w:rFonts w:hint="eastAsia" w:ascii="仿宋" w:hAnsi="仿宋" w:eastAsia="仿宋" w:cs="仿宋"/>
                <w:b w:val="0"/>
                <w:bCs w:val="0"/>
                <w:color w:val="auto"/>
                <w:kern w:val="0"/>
                <w:sz w:val="22"/>
                <w:szCs w:val="22"/>
                <w:highlight w:val="none"/>
                <w:lang w:eastAsia="zh-CN"/>
              </w:rPr>
              <w:t>：</w:t>
            </w:r>
            <w:r>
              <w:rPr>
                <w:rFonts w:hint="eastAsia" w:ascii="仿宋" w:hAnsi="仿宋" w:eastAsia="仿宋" w:cs="仿宋"/>
                <w:color w:val="auto"/>
                <w:kern w:val="0"/>
                <w:sz w:val="22"/>
                <w:szCs w:val="22"/>
                <w:highlight w:val="none"/>
              </w:rPr>
              <w:t>建筑机电安装工程专业承包叁级或机电工程施工总承包叁级或电子与智能化工程专业承包叁级或输变电站工程专业承包叁级及以上资质</w:t>
            </w:r>
            <w:r>
              <w:rPr>
                <w:rFonts w:hint="eastAsia" w:ascii="仿宋" w:hAnsi="仿宋" w:eastAsia="仿宋" w:cs="仿宋"/>
                <w:color w:val="auto"/>
                <w:kern w:val="0"/>
                <w:sz w:val="22"/>
                <w:szCs w:val="22"/>
                <w:highlight w:val="none"/>
                <w:lang w:eastAsia="zh-CN"/>
              </w:rPr>
              <w:t>；</w:t>
            </w:r>
          </w:p>
          <w:p>
            <w:pPr>
              <w:pStyle w:val="5"/>
              <w:widowControl/>
              <w:numPr>
                <w:ilvl w:val="0"/>
                <w:numId w:val="1"/>
              </w:numPr>
              <w:jc w:val="left"/>
              <w:rPr>
                <w:rFonts w:hint="eastAsia" w:ascii="仿宋" w:hAnsi="仿宋" w:eastAsia="仿宋" w:cs="宋体"/>
                <w:color w:val="auto"/>
                <w:sz w:val="22"/>
                <w:szCs w:val="22"/>
                <w:highlight w:val="none"/>
                <w:lang w:eastAsia="zh-CN"/>
              </w:rPr>
            </w:pPr>
            <w:r>
              <w:rPr>
                <w:rFonts w:hint="eastAsia" w:ascii="仿宋" w:hAnsi="仿宋" w:eastAsia="仿宋" w:cs="仿宋"/>
                <w:b w:val="0"/>
                <w:bCs w:val="0"/>
                <w:color w:val="auto"/>
                <w:kern w:val="0"/>
                <w:sz w:val="22"/>
                <w:szCs w:val="22"/>
                <w:highlight w:val="none"/>
              </w:rPr>
              <w:t>备注</w:t>
            </w:r>
            <w:r>
              <w:rPr>
                <w:rFonts w:hint="eastAsia" w:ascii="仿宋" w:hAnsi="仿宋" w:eastAsia="仿宋" w:cs="仿宋"/>
                <w:b w:val="0"/>
                <w:bCs w:val="0"/>
                <w:color w:val="auto"/>
                <w:kern w:val="0"/>
                <w:sz w:val="22"/>
                <w:szCs w:val="22"/>
                <w:highlight w:val="none"/>
                <w:lang w:eastAsia="zh-CN"/>
              </w:rPr>
              <w:t>：</w:t>
            </w:r>
            <w:r>
              <w:rPr>
                <w:rFonts w:hint="eastAsia" w:ascii="仿宋" w:hAnsi="仿宋" w:eastAsia="仿宋" w:cs="仿宋"/>
                <w:color w:val="auto"/>
                <w:kern w:val="0"/>
                <w:sz w:val="22"/>
                <w:szCs w:val="22"/>
                <w:highlight w:val="none"/>
              </w:rPr>
              <w:t>不接受代理商及联合体投标</w:t>
            </w:r>
            <w:r>
              <w:rPr>
                <w:rFonts w:hint="eastAsia" w:ascii="仿宋" w:hAnsi="仿宋" w:eastAsia="仿宋" w:cs="仿宋"/>
                <w:color w:val="auto"/>
                <w:kern w:val="0"/>
                <w:sz w:val="22"/>
                <w:szCs w:val="22"/>
                <w:highlight w:val="none"/>
                <w:lang w:eastAsia="zh-CN"/>
              </w:rPr>
              <w:t>。</w:t>
            </w:r>
          </w:p>
        </w:tc>
        <w:tc>
          <w:tcPr>
            <w:tcW w:w="1316" w:type="dxa"/>
            <w:vAlign w:val="center"/>
          </w:tcPr>
          <w:p>
            <w:pPr>
              <w:pStyle w:val="5"/>
              <w:widowControl/>
              <w:jc w:val="center"/>
              <w:rPr>
                <w:rFonts w:hint="default" w:ascii="仿宋" w:hAnsi="仿宋" w:eastAsia="仿宋" w:cs="宋体"/>
                <w:color w:val="auto"/>
                <w:sz w:val="22"/>
                <w:szCs w:val="22"/>
                <w:highlight w:val="none"/>
                <w:lang w:val="en-US" w:eastAsia="zh-CN"/>
              </w:rPr>
            </w:pPr>
            <w:r>
              <w:rPr>
                <w:rFonts w:hint="eastAsia" w:ascii="仿宋" w:hAnsi="仿宋" w:eastAsia="仿宋" w:cs="宋体"/>
                <w:color w:val="auto"/>
                <w:sz w:val="22"/>
                <w:szCs w:val="22"/>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893" w:type="dxa"/>
            <w:vAlign w:val="center"/>
          </w:tcPr>
          <w:p>
            <w:pPr>
              <w:pStyle w:val="5"/>
              <w:widowControl/>
              <w:jc w:val="center"/>
              <w:rPr>
                <w:rFonts w:hint="eastAsia" w:ascii="仿宋" w:hAnsi="仿宋" w:eastAsia="仿宋" w:cs="Arial"/>
                <w:color w:val="auto"/>
                <w:sz w:val="22"/>
                <w:szCs w:val="22"/>
                <w:highlight w:val="none"/>
                <w:lang w:eastAsia="zh-CN"/>
              </w:rPr>
            </w:pPr>
            <w:r>
              <w:rPr>
                <w:rFonts w:hint="eastAsia" w:ascii="仿宋" w:hAnsi="仿宋" w:eastAsia="仿宋" w:cs="Arial"/>
                <w:color w:val="auto"/>
                <w:sz w:val="22"/>
                <w:szCs w:val="22"/>
                <w:highlight w:val="none"/>
              </w:rPr>
              <w:t>包</w:t>
            </w:r>
            <w:r>
              <w:rPr>
                <w:rFonts w:hint="eastAsia" w:ascii="仿宋" w:hAnsi="仿宋" w:eastAsia="仿宋" w:cs="Arial"/>
                <w:color w:val="auto"/>
                <w:sz w:val="22"/>
                <w:szCs w:val="22"/>
                <w:highlight w:val="none"/>
                <w:lang w:val="en-US" w:eastAsia="zh-CN"/>
              </w:rPr>
              <w:t>2</w:t>
            </w:r>
          </w:p>
        </w:tc>
        <w:tc>
          <w:tcPr>
            <w:tcW w:w="1522" w:type="dxa"/>
            <w:shd w:val="clear" w:color="auto" w:fill="auto"/>
            <w:vAlign w:val="center"/>
          </w:tcPr>
          <w:p>
            <w:pPr>
              <w:keepNext w:val="0"/>
              <w:keepLines w:val="0"/>
              <w:pageBreakBefore w:val="0"/>
              <w:widowControl/>
              <w:kinsoku/>
              <w:wordWrap/>
              <w:overflowPunct/>
              <w:topLinePunct w:val="0"/>
              <w:autoSpaceDE/>
              <w:autoSpaceDN/>
              <w:bidi w:val="0"/>
              <w:jc w:val="center"/>
              <w:textAlignment w:val="auto"/>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变电站在线智能巡视系统安装服务项目（包二）</w:t>
            </w:r>
          </w:p>
        </w:tc>
        <w:tc>
          <w:tcPr>
            <w:tcW w:w="3138" w:type="dxa"/>
            <w:shd w:val="clear" w:color="auto" w:fill="auto"/>
            <w:vAlign w:val="center"/>
          </w:tcPr>
          <w:p>
            <w:pPr>
              <w:keepNext w:val="0"/>
              <w:keepLines w:val="0"/>
              <w:pageBreakBefore w:val="0"/>
              <w:widowControl/>
              <w:kinsoku/>
              <w:wordWrap/>
              <w:overflowPunct/>
              <w:topLinePunct w:val="0"/>
              <w:autoSpaceDE/>
              <w:autoSpaceDN/>
              <w:bidi w:val="0"/>
              <w:jc w:val="left"/>
              <w:textAlignment w:val="auto"/>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变电站在线智能巡视安装服务项目内容包括：高清网络摄像机安装；监控立杆安装；辅助控制箱安装；电源电缆及网线敷设；光纤敷设；各类管材线槽安装；墙面开槽及恢复；电缆沟开挖及回填；后台系统设备安装；屏柜安装；系统接地；防火封堵；所涉及的的建筑和绿化设施拆除和恢复；招标方要求的各类设计外少量的零星施工和用工工作；其它投运站点的少量维护工作。</w:t>
            </w:r>
          </w:p>
        </w:tc>
        <w:tc>
          <w:tcPr>
            <w:tcW w:w="974" w:type="dxa"/>
            <w:shd w:val="clear" w:color="000000" w:fill="FFFFFF"/>
            <w:vAlign w:val="center"/>
          </w:tcPr>
          <w:p>
            <w:pPr>
              <w:keepNext w:val="0"/>
              <w:keepLines w:val="0"/>
              <w:pageBreakBefore w:val="0"/>
              <w:widowControl/>
              <w:kinsoku/>
              <w:wordWrap/>
              <w:overflowPunct/>
              <w:topLinePunct w:val="0"/>
              <w:autoSpaceDE/>
              <w:autoSpaceDN/>
              <w:bidi w:val="0"/>
              <w:jc w:val="center"/>
              <w:textAlignment w:val="auto"/>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63</w:t>
            </w:r>
          </w:p>
        </w:tc>
        <w:tc>
          <w:tcPr>
            <w:tcW w:w="893" w:type="dxa"/>
            <w:shd w:val="clear" w:color="000000" w:fill="FFFFFF"/>
            <w:vAlign w:val="center"/>
          </w:tcPr>
          <w:p>
            <w:pPr>
              <w:keepNext w:val="0"/>
              <w:keepLines w:val="0"/>
              <w:pageBreakBefore w:val="0"/>
              <w:widowControl/>
              <w:kinsoku/>
              <w:wordWrap/>
              <w:overflowPunct/>
              <w:topLinePunct w:val="0"/>
              <w:autoSpaceDE/>
              <w:autoSpaceDN/>
              <w:bidi w:val="0"/>
              <w:jc w:val="center"/>
              <w:textAlignment w:val="auto"/>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站</w:t>
            </w:r>
          </w:p>
        </w:tc>
        <w:tc>
          <w:tcPr>
            <w:tcW w:w="813" w:type="dxa"/>
            <w:shd w:val="clear" w:color="auto" w:fill="auto"/>
            <w:vAlign w:val="center"/>
          </w:tcPr>
          <w:p>
            <w:pPr>
              <w:keepNext w:val="0"/>
              <w:keepLines w:val="0"/>
              <w:pageBreakBefore w:val="0"/>
              <w:widowControl/>
              <w:kinsoku/>
              <w:wordWrap/>
              <w:overflowPunct/>
              <w:topLinePunct w:val="0"/>
              <w:autoSpaceDE/>
              <w:autoSpaceDN/>
              <w:bidi w:val="0"/>
              <w:jc w:val="center"/>
              <w:textAlignment w:val="auto"/>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1年</w:t>
            </w:r>
          </w:p>
        </w:tc>
        <w:tc>
          <w:tcPr>
            <w:tcW w:w="974" w:type="dxa"/>
            <w:vAlign w:val="center"/>
          </w:tcPr>
          <w:p>
            <w:pPr>
              <w:keepNext w:val="0"/>
              <w:keepLines w:val="0"/>
              <w:pageBreakBefore w:val="0"/>
              <w:widowControl/>
              <w:kinsoku/>
              <w:wordWrap/>
              <w:overflowPunct/>
              <w:topLinePunct w:val="0"/>
              <w:autoSpaceDE/>
              <w:autoSpaceDN/>
              <w:bidi w:val="0"/>
              <w:jc w:val="center"/>
              <w:textAlignment w:val="auto"/>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1年</w:t>
            </w:r>
          </w:p>
        </w:tc>
        <w:tc>
          <w:tcPr>
            <w:tcW w:w="3053" w:type="dxa"/>
            <w:vAlign w:val="center"/>
          </w:tcPr>
          <w:p>
            <w:pPr>
              <w:pStyle w:val="5"/>
              <w:widowControl/>
              <w:numPr>
                <w:ilvl w:val="0"/>
                <w:numId w:val="2"/>
              </w:numPr>
              <w:jc w:val="left"/>
              <w:rPr>
                <w:rFonts w:hint="eastAsia" w:ascii="仿宋" w:hAnsi="仿宋" w:eastAsia="仿宋" w:cs="仿宋"/>
                <w:color w:val="auto"/>
                <w:kern w:val="0"/>
                <w:sz w:val="22"/>
                <w:szCs w:val="22"/>
                <w:highlight w:val="none"/>
                <w:lang w:eastAsia="zh-CN"/>
              </w:rPr>
            </w:pPr>
            <w:r>
              <w:rPr>
                <w:rFonts w:hint="eastAsia" w:ascii="仿宋" w:hAnsi="仿宋" w:eastAsia="仿宋" w:cs="仿宋"/>
                <w:b w:val="0"/>
                <w:bCs w:val="0"/>
                <w:color w:val="auto"/>
                <w:kern w:val="0"/>
                <w:sz w:val="22"/>
                <w:szCs w:val="22"/>
                <w:highlight w:val="none"/>
              </w:rPr>
              <w:t>厂商要求</w:t>
            </w:r>
            <w:r>
              <w:rPr>
                <w:rFonts w:hint="eastAsia" w:ascii="仿宋" w:hAnsi="仿宋" w:eastAsia="仿宋" w:cs="仿宋"/>
                <w:b w:val="0"/>
                <w:bCs w:val="0"/>
                <w:color w:val="auto"/>
                <w:kern w:val="0"/>
                <w:sz w:val="22"/>
                <w:szCs w:val="22"/>
                <w:highlight w:val="none"/>
                <w:lang w:eastAsia="zh-CN"/>
              </w:rPr>
              <w:t>：</w:t>
            </w:r>
            <w:r>
              <w:rPr>
                <w:rFonts w:hint="eastAsia" w:ascii="仿宋" w:hAnsi="仿宋" w:eastAsia="仿宋" w:cs="仿宋"/>
                <w:color w:val="auto"/>
                <w:kern w:val="0"/>
                <w:sz w:val="22"/>
                <w:szCs w:val="22"/>
                <w:highlight w:val="none"/>
              </w:rPr>
              <w:t>应答人应具有独立订立合同的法人资格</w:t>
            </w:r>
            <w:r>
              <w:rPr>
                <w:rFonts w:hint="eastAsia" w:ascii="仿宋" w:hAnsi="仿宋" w:eastAsia="仿宋" w:cs="仿宋"/>
                <w:color w:val="auto"/>
                <w:kern w:val="0"/>
                <w:sz w:val="22"/>
                <w:szCs w:val="22"/>
                <w:highlight w:val="none"/>
                <w:lang w:eastAsia="zh-CN"/>
              </w:rPr>
              <w:t>；</w:t>
            </w:r>
          </w:p>
          <w:p>
            <w:pPr>
              <w:pStyle w:val="5"/>
              <w:widowControl/>
              <w:numPr>
                <w:ilvl w:val="0"/>
                <w:numId w:val="2"/>
              </w:numPr>
              <w:jc w:val="left"/>
              <w:rPr>
                <w:rFonts w:hint="eastAsia" w:ascii="仿宋" w:hAnsi="仿宋" w:eastAsia="仿宋" w:cs="宋体"/>
                <w:color w:val="auto"/>
                <w:sz w:val="22"/>
                <w:szCs w:val="22"/>
                <w:highlight w:val="none"/>
                <w:lang w:eastAsia="zh-CN"/>
              </w:rPr>
            </w:pPr>
            <w:r>
              <w:rPr>
                <w:rFonts w:hint="eastAsia" w:ascii="仿宋" w:hAnsi="仿宋" w:eastAsia="仿宋" w:cs="仿宋"/>
                <w:b w:val="0"/>
                <w:bCs w:val="0"/>
                <w:color w:val="auto"/>
                <w:kern w:val="0"/>
                <w:sz w:val="22"/>
                <w:szCs w:val="22"/>
                <w:highlight w:val="none"/>
              </w:rPr>
              <w:t>有效的安全生产许可证</w:t>
            </w:r>
            <w:r>
              <w:rPr>
                <w:rFonts w:hint="eastAsia" w:ascii="仿宋" w:hAnsi="仿宋" w:eastAsia="仿宋" w:cs="仿宋"/>
                <w:b w:val="0"/>
                <w:bCs w:val="0"/>
                <w:color w:val="auto"/>
                <w:kern w:val="0"/>
                <w:sz w:val="22"/>
                <w:szCs w:val="22"/>
                <w:highlight w:val="none"/>
                <w:lang w:eastAsia="zh-CN"/>
              </w:rPr>
              <w:t>：</w:t>
            </w:r>
            <w:r>
              <w:rPr>
                <w:rFonts w:hint="eastAsia" w:ascii="仿宋" w:hAnsi="仿宋" w:eastAsia="仿宋" w:cs="仿宋"/>
                <w:color w:val="auto"/>
                <w:kern w:val="0"/>
                <w:sz w:val="22"/>
                <w:szCs w:val="22"/>
                <w:highlight w:val="none"/>
              </w:rPr>
              <w:t>有效期内的安全生产许可证件</w:t>
            </w:r>
            <w:r>
              <w:rPr>
                <w:rFonts w:hint="eastAsia" w:ascii="仿宋" w:hAnsi="仿宋" w:eastAsia="仿宋" w:cs="仿宋"/>
                <w:color w:val="auto"/>
                <w:kern w:val="0"/>
                <w:sz w:val="22"/>
                <w:szCs w:val="22"/>
                <w:highlight w:val="none"/>
                <w:lang w:eastAsia="zh-CN"/>
              </w:rPr>
              <w:t>；</w:t>
            </w:r>
          </w:p>
          <w:p>
            <w:pPr>
              <w:pStyle w:val="5"/>
              <w:widowControl/>
              <w:numPr>
                <w:ilvl w:val="0"/>
                <w:numId w:val="2"/>
              </w:numPr>
              <w:jc w:val="left"/>
              <w:rPr>
                <w:rFonts w:ascii="仿宋" w:hAnsi="仿宋" w:eastAsia="仿宋" w:cs="宋体"/>
                <w:color w:val="auto"/>
                <w:sz w:val="22"/>
                <w:szCs w:val="22"/>
                <w:highlight w:val="none"/>
              </w:rPr>
            </w:pPr>
            <w:r>
              <w:rPr>
                <w:rFonts w:hint="eastAsia" w:ascii="仿宋" w:hAnsi="仿宋" w:eastAsia="仿宋" w:cs="仿宋"/>
                <w:b w:val="0"/>
                <w:bCs w:val="0"/>
                <w:color w:val="auto"/>
                <w:kern w:val="0"/>
                <w:sz w:val="22"/>
                <w:szCs w:val="22"/>
                <w:highlight w:val="none"/>
              </w:rPr>
              <w:t>有效的资质等级证书</w:t>
            </w:r>
            <w:r>
              <w:rPr>
                <w:rFonts w:hint="eastAsia" w:ascii="仿宋" w:hAnsi="仿宋" w:eastAsia="仿宋" w:cs="仿宋"/>
                <w:b w:val="0"/>
                <w:bCs w:val="0"/>
                <w:color w:val="auto"/>
                <w:kern w:val="0"/>
                <w:sz w:val="22"/>
                <w:szCs w:val="22"/>
                <w:highlight w:val="none"/>
                <w:lang w:eastAsia="zh-CN"/>
              </w:rPr>
              <w:t>：</w:t>
            </w:r>
            <w:r>
              <w:rPr>
                <w:rFonts w:hint="eastAsia" w:ascii="仿宋" w:hAnsi="仿宋" w:eastAsia="仿宋" w:cs="仿宋"/>
                <w:color w:val="auto"/>
                <w:kern w:val="0"/>
                <w:sz w:val="22"/>
                <w:szCs w:val="22"/>
                <w:highlight w:val="none"/>
              </w:rPr>
              <w:t>建筑机电安装工程专业承包叁级或机电工程施工总承包叁级或电子与智能化工程专业承包叁级或输变电站工程专业承包叁级及以上资质</w:t>
            </w:r>
            <w:r>
              <w:rPr>
                <w:rFonts w:hint="eastAsia" w:ascii="仿宋" w:hAnsi="仿宋" w:eastAsia="仿宋" w:cs="仿宋"/>
                <w:color w:val="auto"/>
                <w:kern w:val="0"/>
                <w:sz w:val="22"/>
                <w:szCs w:val="22"/>
                <w:highlight w:val="none"/>
                <w:lang w:eastAsia="zh-CN"/>
              </w:rPr>
              <w:t>；</w:t>
            </w:r>
          </w:p>
          <w:p>
            <w:pPr>
              <w:pStyle w:val="5"/>
              <w:widowControl/>
              <w:numPr>
                <w:ilvl w:val="0"/>
                <w:numId w:val="2"/>
              </w:numPr>
              <w:jc w:val="left"/>
              <w:rPr>
                <w:rFonts w:ascii="仿宋" w:hAnsi="仿宋" w:eastAsia="仿宋" w:cs="宋体"/>
                <w:color w:val="auto"/>
                <w:sz w:val="22"/>
                <w:szCs w:val="22"/>
                <w:highlight w:val="none"/>
              </w:rPr>
            </w:pPr>
            <w:r>
              <w:rPr>
                <w:rFonts w:hint="eastAsia" w:ascii="仿宋" w:hAnsi="仿宋" w:eastAsia="仿宋" w:cs="仿宋"/>
                <w:b w:val="0"/>
                <w:bCs w:val="0"/>
                <w:color w:val="auto"/>
                <w:kern w:val="0"/>
                <w:sz w:val="22"/>
                <w:szCs w:val="22"/>
                <w:highlight w:val="none"/>
              </w:rPr>
              <w:t>备注</w:t>
            </w:r>
            <w:r>
              <w:rPr>
                <w:rFonts w:hint="eastAsia" w:ascii="仿宋" w:hAnsi="仿宋" w:eastAsia="仿宋" w:cs="仿宋"/>
                <w:b w:val="0"/>
                <w:bCs w:val="0"/>
                <w:color w:val="auto"/>
                <w:kern w:val="0"/>
                <w:sz w:val="22"/>
                <w:szCs w:val="22"/>
                <w:highlight w:val="none"/>
                <w:lang w:eastAsia="zh-CN"/>
              </w:rPr>
              <w:t>：</w:t>
            </w:r>
            <w:r>
              <w:rPr>
                <w:rFonts w:hint="eastAsia" w:ascii="仿宋" w:hAnsi="仿宋" w:eastAsia="仿宋" w:cs="仿宋"/>
                <w:color w:val="auto"/>
                <w:kern w:val="0"/>
                <w:sz w:val="22"/>
                <w:szCs w:val="22"/>
                <w:highlight w:val="none"/>
              </w:rPr>
              <w:t>不接受代理商及联合体投标</w:t>
            </w:r>
            <w:r>
              <w:rPr>
                <w:rFonts w:hint="eastAsia" w:ascii="仿宋" w:hAnsi="仿宋" w:eastAsia="仿宋" w:cs="仿宋"/>
                <w:color w:val="auto"/>
                <w:kern w:val="0"/>
                <w:sz w:val="22"/>
                <w:szCs w:val="22"/>
                <w:highlight w:val="none"/>
                <w:lang w:eastAsia="zh-CN"/>
              </w:rPr>
              <w:t>。</w:t>
            </w:r>
          </w:p>
        </w:tc>
        <w:tc>
          <w:tcPr>
            <w:tcW w:w="1316" w:type="dxa"/>
            <w:vAlign w:val="center"/>
          </w:tcPr>
          <w:p>
            <w:pPr>
              <w:pStyle w:val="5"/>
              <w:widowControl/>
              <w:jc w:val="center"/>
              <w:rPr>
                <w:rFonts w:hint="default" w:ascii="仿宋" w:hAnsi="仿宋" w:eastAsia="仿宋" w:cs="宋体"/>
                <w:color w:val="auto"/>
                <w:sz w:val="22"/>
                <w:szCs w:val="22"/>
                <w:highlight w:val="none"/>
                <w:lang w:val="en-US" w:eastAsia="zh-CN"/>
              </w:rPr>
            </w:pPr>
            <w:r>
              <w:rPr>
                <w:rFonts w:hint="eastAsia" w:ascii="仿宋" w:hAnsi="仿宋" w:eastAsia="仿宋" w:cs="宋体"/>
                <w:color w:val="auto"/>
                <w:sz w:val="22"/>
                <w:szCs w:val="22"/>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893" w:type="dxa"/>
            <w:vAlign w:val="center"/>
          </w:tcPr>
          <w:p>
            <w:pPr>
              <w:pStyle w:val="5"/>
              <w:widowControl/>
              <w:jc w:val="center"/>
              <w:rPr>
                <w:rFonts w:hint="eastAsia" w:ascii="仿宋" w:hAnsi="仿宋" w:eastAsia="仿宋" w:cs="Arial"/>
                <w:color w:val="auto"/>
                <w:sz w:val="22"/>
                <w:szCs w:val="22"/>
                <w:highlight w:val="none"/>
                <w:lang w:eastAsia="zh-CN"/>
              </w:rPr>
            </w:pPr>
            <w:r>
              <w:rPr>
                <w:rFonts w:hint="eastAsia" w:ascii="仿宋" w:hAnsi="仿宋" w:eastAsia="仿宋" w:cs="Arial"/>
                <w:color w:val="auto"/>
                <w:sz w:val="22"/>
                <w:szCs w:val="22"/>
                <w:highlight w:val="none"/>
              </w:rPr>
              <w:t>包</w:t>
            </w:r>
            <w:r>
              <w:rPr>
                <w:rFonts w:hint="eastAsia" w:ascii="仿宋" w:hAnsi="仿宋" w:eastAsia="仿宋" w:cs="Arial"/>
                <w:color w:val="auto"/>
                <w:sz w:val="22"/>
                <w:szCs w:val="22"/>
                <w:highlight w:val="none"/>
                <w:lang w:val="en-US" w:eastAsia="zh-CN"/>
              </w:rPr>
              <w:t>3</w:t>
            </w:r>
          </w:p>
        </w:tc>
        <w:tc>
          <w:tcPr>
            <w:tcW w:w="1522" w:type="dxa"/>
            <w:shd w:val="clear" w:color="auto" w:fill="auto"/>
            <w:vAlign w:val="center"/>
          </w:tcPr>
          <w:p>
            <w:pPr>
              <w:keepNext w:val="0"/>
              <w:keepLines w:val="0"/>
              <w:pageBreakBefore w:val="0"/>
              <w:widowControl/>
              <w:kinsoku/>
              <w:wordWrap/>
              <w:overflowPunct/>
              <w:topLinePunct w:val="0"/>
              <w:autoSpaceDE/>
              <w:autoSpaceDN/>
              <w:bidi w:val="0"/>
              <w:jc w:val="center"/>
              <w:textAlignment w:val="auto"/>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变电站在线智能巡视系统安装服务项目（包三）</w:t>
            </w:r>
          </w:p>
        </w:tc>
        <w:tc>
          <w:tcPr>
            <w:tcW w:w="3138" w:type="dxa"/>
            <w:shd w:val="clear" w:color="auto" w:fill="auto"/>
            <w:vAlign w:val="center"/>
          </w:tcPr>
          <w:p>
            <w:pPr>
              <w:keepNext w:val="0"/>
              <w:keepLines w:val="0"/>
              <w:pageBreakBefore w:val="0"/>
              <w:widowControl/>
              <w:kinsoku/>
              <w:wordWrap/>
              <w:overflowPunct/>
              <w:topLinePunct w:val="0"/>
              <w:autoSpaceDE/>
              <w:autoSpaceDN/>
              <w:bidi w:val="0"/>
              <w:jc w:val="left"/>
              <w:textAlignment w:val="auto"/>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变电站在线智能巡视安装服务项目内容包括：高清网络摄像机安装；监控立杆安装；辅助控制箱安装；电源电缆及网线敷设；光纤敷设；各类管材线槽安装；墙面开槽及恢复；电缆沟开挖及回填；后台系统设备安装；屏柜安装；系统接地；防火封堵；所涉及的的建筑和绿化设施拆除和恢复；招标方要求的各类设计外少量的零星施工和用工工作；其它投运站点的少量维护工作。</w:t>
            </w:r>
          </w:p>
        </w:tc>
        <w:tc>
          <w:tcPr>
            <w:tcW w:w="974" w:type="dxa"/>
            <w:shd w:val="clear" w:color="000000" w:fill="FFFFFF"/>
            <w:vAlign w:val="center"/>
          </w:tcPr>
          <w:p>
            <w:pPr>
              <w:keepNext w:val="0"/>
              <w:keepLines w:val="0"/>
              <w:pageBreakBefore w:val="0"/>
              <w:widowControl/>
              <w:kinsoku/>
              <w:wordWrap/>
              <w:overflowPunct/>
              <w:topLinePunct w:val="0"/>
              <w:autoSpaceDE/>
              <w:autoSpaceDN/>
              <w:bidi w:val="0"/>
              <w:jc w:val="center"/>
              <w:textAlignment w:val="auto"/>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50</w:t>
            </w:r>
          </w:p>
        </w:tc>
        <w:tc>
          <w:tcPr>
            <w:tcW w:w="893" w:type="dxa"/>
            <w:shd w:val="clear" w:color="000000" w:fill="FFFFFF"/>
            <w:vAlign w:val="center"/>
          </w:tcPr>
          <w:p>
            <w:pPr>
              <w:keepNext w:val="0"/>
              <w:keepLines w:val="0"/>
              <w:pageBreakBefore w:val="0"/>
              <w:widowControl/>
              <w:kinsoku/>
              <w:wordWrap/>
              <w:overflowPunct/>
              <w:topLinePunct w:val="0"/>
              <w:autoSpaceDE/>
              <w:autoSpaceDN/>
              <w:bidi w:val="0"/>
              <w:jc w:val="center"/>
              <w:textAlignment w:val="auto"/>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站</w:t>
            </w:r>
          </w:p>
        </w:tc>
        <w:tc>
          <w:tcPr>
            <w:tcW w:w="813" w:type="dxa"/>
            <w:shd w:val="clear" w:color="auto" w:fill="auto"/>
            <w:vAlign w:val="center"/>
          </w:tcPr>
          <w:p>
            <w:pPr>
              <w:keepNext w:val="0"/>
              <w:keepLines w:val="0"/>
              <w:pageBreakBefore w:val="0"/>
              <w:widowControl/>
              <w:kinsoku/>
              <w:wordWrap/>
              <w:overflowPunct/>
              <w:topLinePunct w:val="0"/>
              <w:autoSpaceDE/>
              <w:autoSpaceDN/>
              <w:bidi w:val="0"/>
              <w:jc w:val="center"/>
              <w:textAlignment w:val="auto"/>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1年</w:t>
            </w:r>
          </w:p>
        </w:tc>
        <w:tc>
          <w:tcPr>
            <w:tcW w:w="974" w:type="dxa"/>
            <w:vAlign w:val="center"/>
          </w:tcPr>
          <w:p>
            <w:pPr>
              <w:keepNext w:val="0"/>
              <w:keepLines w:val="0"/>
              <w:pageBreakBefore w:val="0"/>
              <w:widowControl/>
              <w:kinsoku/>
              <w:wordWrap/>
              <w:overflowPunct/>
              <w:topLinePunct w:val="0"/>
              <w:autoSpaceDE/>
              <w:autoSpaceDN/>
              <w:bidi w:val="0"/>
              <w:jc w:val="center"/>
              <w:textAlignment w:val="auto"/>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1年</w:t>
            </w:r>
          </w:p>
        </w:tc>
        <w:tc>
          <w:tcPr>
            <w:tcW w:w="3053" w:type="dxa"/>
            <w:vAlign w:val="center"/>
          </w:tcPr>
          <w:p>
            <w:pPr>
              <w:pStyle w:val="5"/>
              <w:widowControl/>
              <w:numPr>
                <w:ilvl w:val="0"/>
                <w:numId w:val="3"/>
              </w:numPr>
              <w:jc w:val="left"/>
              <w:rPr>
                <w:rFonts w:hint="eastAsia" w:ascii="仿宋" w:hAnsi="仿宋" w:eastAsia="仿宋" w:cs="仿宋"/>
                <w:color w:val="auto"/>
                <w:kern w:val="0"/>
                <w:sz w:val="22"/>
                <w:szCs w:val="22"/>
                <w:highlight w:val="none"/>
                <w:lang w:eastAsia="zh-CN"/>
              </w:rPr>
            </w:pPr>
            <w:r>
              <w:rPr>
                <w:rFonts w:hint="eastAsia" w:ascii="仿宋" w:hAnsi="仿宋" w:eastAsia="仿宋" w:cs="仿宋"/>
                <w:b w:val="0"/>
                <w:bCs w:val="0"/>
                <w:color w:val="auto"/>
                <w:kern w:val="0"/>
                <w:sz w:val="22"/>
                <w:szCs w:val="22"/>
                <w:highlight w:val="none"/>
              </w:rPr>
              <w:t>厂商要求</w:t>
            </w:r>
            <w:r>
              <w:rPr>
                <w:rFonts w:hint="eastAsia" w:ascii="仿宋" w:hAnsi="仿宋" w:eastAsia="仿宋" w:cs="仿宋"/>
                <w:b w:val="0"/>
                <w:bCs w:val="0"/>
                <w:color w:val="auto"/>
                <w:kern w:val="0"/>
                <w:sz w:val="22"/>
                <w:szCs w:val="22"/>
                <w:highlight w:val="none"/>
                <w:lang w:eastAsia="zh-CN"/>
              </w:rPr>
              <w:t>：</w:t>
            </w:r>
            <w:r>
              <w:rPr>
                <w:rFonts w:hint="eastAsia" w:ascii="仿宋" w:hAnsi="仿宋" w:eastAsia="仿宋" w:cs="仿宋"/>
                <w:color w:val="auto"/>
                <w:kern w:val="0"/>
                <w:sz w:val="22"/>
                <w:szCs w:val="22"/>
                <w:highlight w:val="none"/>
              </w:rPr>
              <w:t>应答人应具有独立订立合同的法人资格</w:t>
            </w:r>
            <w:r>
              <w:rPr>
                <w:rFonts w:hint="eastAsia" w:ascii="仿宋" w:hAnsi="仿宋" w:eastAsia="仿宋" w:cs="仿宋"/>
                <w:color w:val="auto"/>
                <w:kern w:val="0"/>
                <w:sz w:val="22"/>
                <w:szCs w:val="22"/>
                <w:highlight w:val="none"/>
                <w:lang w:eastAsia="zh-CN"/>
              </w:rPr>
              <w:t>；</w:t>
            </w:r>
          </w:p>
          <w:p>
            <w:pPr>
              <w:pStyle w:val="5"/>
              <w:widowControl/>
              <w:numPr>
                <w:ilvl w:val="0"/>
                <w:numId w:val="3"/>
              </w:numPr>
              <w:jc w:val="left"/>
              <w:rPr>
                <w:rFonts w:hint="eastAsia" w:ascii="仿宋" w:hAnsi="仿宋" w:eastAsia="仿宋" w:cs="宋体"/>
                <w:color w:val="auto"/>
                <w:sz w:val="22"/>
                <w:szCs w:val="22"/>
                <w:highlight w:val="none"/>
                <w:lang w:eastAsia="zh-CN"/>
              </w:rPr>
            </w:pPr>
            <w:r>
              <w:rPr>
                <w:rFonts w:hint="eastAsia" w:ascii="仿宋" w:hAnsi="仿宋" w:eastAsia="仿宋" w:cs="仿宋"/>
                <w:b w:val="0"/>
                <w:bCs w:val="0"/>
                <w:color w:val="auto"/>
                <w:kern w:val="0"/>
                <w:sz w:val="22"/>
                <w:szCs w:val="22"/>
                <w:highlight w:val="none"/>
              </w:rPr>
              <w:t>有效的安全生产许可证</w:t>
            </w:r>
            <w:r>
              <w:rPr>
                <w:rFonts w:hint="eastAsia" w:ascii="仿宋" w:hAnsi="仿宋" w:eastAsia="仿宋" w:cs="仿宋"/>
                <w:b w:val="0"/>
                <w:bCs w:val="0"/>
                <w:color w:val="auto"/>
                <w:kern w:val="0"/>
                <w:sz w:val="22"/>
                <w:szCs w:val="22"/>
                <w:highlight w:val="none"/>
                <w:lang w:eastAsia="zh-CN"/>
              </w:rPr>
              <w:t>：</w:t>
            </w:r>
            <w:r>
              <w:rPr>
                <w:rFonts w:hint="eastAsia" w:ascii="仿宋" w:hAnsi="仿宋" w:eastAsia="仿宋" w:cs="仿宋"/>
                <w:color w:val="auto"/>
                <w:kern w:val="0"/>
                <w:sz w:val="22"/>
                <w:szCs w:val="22"/>
                <w:highlight w:val="none"/>
              </w:rPr>
              <w:t>有效期内的安全生产许可证件</w:t>
            </w:r>
            <w:r>
              <w:rPr>
                <w:rFonts w:hint="eastAsia" w:ascii="仿宋" w:hAnsi="仿宋" w:eastAsia="仿宋" w:cs="仿宋"/>
                <w:color w:val="auto"/>
                <w:kern w:val="0"/>
                <w:sz w:val="22"/>
                <w:szCs w:val="22"/>
                <w:highlight w:val="none"/>
                <w:lang w:eastAsia="zh-CN"/>
              </w:rPr>
              <w:t>；</w:t>
            </w:r>
          </w:p>
          <w:p>
            <w:pPr>
              <w:pStyle w:val="5"/>
              <w:widowControl/>
              <w:numPr>
                <w:ilvl w:val="0"/>
                <w:numId w:val="3"/>
              </w:numPr>
              <w:jc w:val="left"/>
              <w:rPr>
                <w:rFonts w:ascii="仿宋" w:hAnsi="仿宋" w:eastAsia="仿宋" w:cs="宋体"/>
                <w:color w:val="auto"/>
                <w:sz w:val="22"/>
                <w:szCs w:val="22"/>
                <w:highlight w:val="none"/>
              </w:rPr>
            </w:pPr>
            <w:r>
              <w:rPr>
                <w:rFonts w:hint="eastAsia" w:ascii="仿宋" w:hAnsi="仿宋" w:eastAsia="仿宋" w:cs="仿宋"/>
                <w:b w:val="0"/>
                <w:bCs w:val="0"/>
                <w:color w:val="auto"/>
                <w:kern w:val="0"/>
                <w:sz w:val="22"/>
                <w:szCs w:val="22"/>
                <w:highlight w:val="none"/>
              </w:rPr>
              <w:t>有效的资质等级证书</w:t>
            </w:r>
            <w:r>
              <w:rPr>
                <w:rFonts w:hint="eastAsia" w:ascii="仿宋" w:hAnsi="仿宋" w:eastAsia="仿宋" w:cs="仿宋"/>
                <w:b w:val="0"/>
                <w:bCs w:val="0"/>
                <w:color w:val="auto"/>
                <w:kern w:val="0"/>
                <w:sz w:val="22"/>
                <w:szCs w:val="22"/>
                <w:highlight w:val="none"/>
                <w:lang w:eastAsia="zh-CN"/>
              </w:rPr>
              <w:t>：</w:t>
            </w:r>
            <w:r>
              <w:rPr>
                <w:rFonts w:hint="eastAsia" w:ascii="仿宋" w:hAnsi="仿宋" w:eastAsia="仿宋" w:cs="仿宋"/>
                <w:color w:val="auto"/>
                <w:kern w:val="0"/>
                <w:sz w:val="22"/>
                <w:szCs w:val="22"/>
                <w:highlight w:val="none"/>
              </w:rPr>
              <w:t>建筑机电安装工程专业承包叁级或机电工程施工总承包叁级或电子与智能化工程专业承包叁级或输变电站工程专业承包叁级及以上资质</w:t>
            </w:r>
            <w:r>
              <w:rPr>
                <w:rFonts w:hint="eastAsia" w:ascii="仿宋" w:hAnsi="仿宋" w:eastAsia="仿宋" w:cs="仿宋"/>
                <w:color w:val="auto"/>
                <w:kern w:val="0"/>
                <w:sz w:val="22"/>
                <w:szCs w:val="22"/>
                <w:highlight w:val="none"/>
                <w:lang w:eastAsia="zh-CN"/>
              </w:rPr>
              <w:t>；</w:t>
            </w:r>
          </w:p>
          <w:p>
            <w:pPr>
              <w:pStyle w:val="5"/>
              <w:widowControl/>
              <w:numPr>
                <w:ilvl w:val="0"/>
                <w:numId w:val="3"/>
              </w:numPr>
              <w:jc w:val="left"/>
              <w:rPr>
                <w:rFonts w:ascii="仿宋" w:hAnsi="仿宋" w:eastAsia="仿宋" w:cs="宋体"/>
                <w:color w:val="auto"/>
                <w:sz w:val="22"/>
                <w:szCs w:val="22"/>
                <w:highlight w:val="none"/>
              </w:rPr>
            </w:pPr>
            <w:r>
              <w:rPr>
                <w:rFonts w:hint="eastAsia" w:ascii="仿宋" w:hAnsi="仿宋" w:eastAsia="仿宋" w:cs="仿宋"/>
                <w:b w:val="0"/>
                <w:bCs w:val="0"/>
                <w:color w:val="auto"/>
                <w:kern w:val="0"/>
                <w:sz w:val="22"/>
                <w:szCs w:val="22"/>
                <w:highlight w:val="none"/>
              </w:rPr>
              <w:t>备注</w:t>
            </w:r>
            <w:r>
              <w:rPr>
                <w:rFonts w:hint="eastAsia" w:ascii="仿宋" w:hAnsi="仿宋" w:eastAsia="仿宋" w:cs="仿宋"/>
                <w:b w:val="0"/>
                <w:bCs w:val="0"/>
                <w:color w:val="auto"/>
                <w:kern w:val="0"/>
                <w:sz w:val="22"/>
                <w:szCs w:val="22"/>
                <w:highlight w:val="none"/>
                <w:lang w:eastAsia="zh-CN"/>
              </w:rPr>
              <w:t>：</w:t>
            </w:r>
            <w:r>
              <w:rPr>
                <w:rFonts w:hint="eastAsia" w:ascii="仿宋" w:hAnsi="仿宋" w:eastAsia="仿宋" w:cs="仿宋"/>
                <w:color w:val="auto"/>
                <w:kern w:val="0"/>
                <w:sz w:val="22"/>
                <w:szCs w:val="22"/>
                <w:highlight w:val="none"/>
              </w:rPr>
              <w:t>不接受代理商及联合体投标</w:t>
            </w:r>
            <w:r>
              <w:rPr>
                <w:rFonts w:hint="eastAsia" w:ascii="仿宋" w:hAnsi="仿宋" w:eastAsia="仿宋" w:cs="仿宋"/>
                <w:color w:val="auto"/>
                <w:kern w:val="0"/>
                <w:sz w:val="22"/>
                <w:szCs w:val="22"/>
                <w:highlight w:val="none"/>
                <w:lang w:eastAsia="zh-CN"/>
              </w:rPr>
              <w:t>。</w:t>
            </w:r>
          </w:p>
        </w:tc>
        <w:tc>
          <w:tcPr>
            <w:tcW w:w="1316" w:type="dxa"/>
            <w:vAlign w:val="center"/>
          </w:tcPr>
          <w:p>
            <w:pPr>
              <w:pStyle w:val="5"/>
              <w:widowControl/>
              <w:jc w:val="center"/>
              <w:rPr>
                <w:rFonts w:hint="eastAsia" w:ascii="仿宋" w:hAnsi="仿宋" w:eastAsia="仿宋" w:cs="宋体"/>
                <w:color w:val="auto"/>
                <w:sz w:val="22"/>
                <w:szCs w:val="22"/>
                <w:highlight w:val="none"/>
                <w:lang w:val="en-US" w:eastAsia="zh-CN"/>
              </w:rPr>
            </w:pPr>
            <w:r>
              <w:rPr>
                <w:rFonts w:hint="eastAsia" w:ascii="仿宋" w:hAnsi="仿宋" w:eastAsia="仿宋" w:cs="宋体"/>
                <w:color w:val="auto"/>
                <w:sz w:val="22"/>
                <w:szCs w:val="22"/>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893" w:type="dxa"/>
            <w:vAlign w:val="center"/>
          </w:tcPr>
          <w:p>
            <w:pPr>
              <w:pStyle w:val="5"/>
              <w:widowControl/>
              <w:jc w:val="center"/>
              <w:rPr>
                <w:rFonts w:hint="eastAsia" w:ascii="仿宋" w:hAnsi="仿宋" w:eastAsia="仿宋" w:cs="Arial"/>
                <w:color w:val="auto"/>
                <w:sz w:val="22"/>
                <w:szCs w:val="22"/>
                <w:highlight w:val="none"/>
                <w:lang w:eastAsia="zh-CN"/>
              </w:rPr>
            </w:pPr>
            <w:r>
              <w:rPr>
                <w:rFonts w:hint="eastAsia" w:ascii="仿宋" w:hAnsi="仿宋" w:eastAsia="仿宋" w:cs="Arial"/>
                <w:color w:val="auto"/>
                <w:sz w:val="22"/>
                <w:szCs w:val="22"/>
                <w:highlight w:val="none"/>
              </w:rPr>
              <w:t>包</w:t>
            </w:r>
            <w:r>
              <w:rPr>
                <w:rFonts w:hint="eastAsia" w:ascii="仿宋" w:hAnsi="仿宋" w:eastAsia="仿宋" w:cs="Arial"/>
                <w:color w:val="auto"/>
                <w:sz w:val="22"/>
                <w:szCs w:val="22"/>
                <w:highlight w:val="none"/>
                <w:lang w:val="en-US" w:eastAsia="zh-CN"/>
              </w:rPr>
              <w:t>4</w:t>
            </w:r>
          </w:p>
        </w:tc>
        <w:tc>
          <w:tcPr>
            <w:tcW w:w="1522" w:type="dxa"/>
            <w:shd w:val="clear" w:color="auto" w:fill="auto"/>
            <w:vAlign w:val="center"/>
          </w:tcPr>
          <w:p>
            <w:pPr>
              <w:keepNext w:val="0"/>
              <w:keepLines w:val="0"/>
              <w:pageBreakBefore w:val="0"/>
              <w:widowControl/>
              <w:kinsoku/>
              <w:wordWrap/>
              <w:overflowPunct/>
              <w:topLinePunct w:val="0"/>
              <w:autoSpaceDE/>
              <w:autoSpaceDN/>
              <w:bidi w:val="0"/>
              <w:jc w:val="center"/>
              <w:textAlignment w:val="auto"/>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变电站在线智能巡视系统安装服务项目（包四）</w:t>
            </w:r>
          </w:p>
        </w:tc>
        <w:tc>
          <w:tcPr>
            <w:tcW w:w="3138" w:type="dxa"/>
            <w:shd w:val="clear" w:color="auto" w:fill="auto"/>
            <w:vAlign w:val="center"/>
          </w:tcPr>
          <w:p>
            <w:pPr>
              <w:keepNext w:val="0"/>
              <w:keepLines w:val="0"/>
              <w:pageBreakBefore w:val="0"/>
              <w:widowControl/>
              <w:kinsoku/>
              <w:wordWrap/>
              <w:overflowPunct/>
              <w:topLinePunct w:val="0"/>
              <w:autoSpaceDE/>
              <w:autoSpaceDN/>
              <w:bidi w:val="0"/>
              <w:jc w:val="left"/>
              <w:textAlignment w:val="auto"/>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变电站在线智能巡视安装服务项目内容包括：高清网络摄像机安装；监控立杆安装；辅助控制箱安装；电源电缆及网线敷设；光纤敷设；各类管材线槽安装；墙面开槽及恢复；电缆沟开挖及回填；后台系统设备安装；屏柜安装；系统接地；防火封堵；所涉及的的建筑和绿化设施拆除和恢复；招标方要求的各类设计外少量的零星施工和用工工作；其它投运站点的少量维护工作。</w:t>
            </w:r>
          </w:p>
        </w:tc>
        <w:tc>
          <w:tcPr>
            <w:tcW w:w="974" w:type="dxa"/>
            <w:shd w:val="clear" w:color="000000" w:fill="FFFFFF"/>
            <w:vAlign w:val="center"/>
          </w:tcPr>
          <w:p>
            <w:pPr>
              <w:keepNext w:val="0"/>
              <w:keepLines w:val="0"/>
              <w:pageBreakBefore w:val="0"/>
              <w:widowControl/>
              <w:kinsoku/>
              <w:wordWrap/>
              <w:overflowPunct/>
              <w:topLinePunct w:val="0"/>
              <w:autoSpaceDE/>
              <w:autoSpaceDN/>
              <w:bidi w:val="0"/>
              <w:jc w:val="center"/>
              <w:textAlignment w:val="auto"/>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37</w:t>
            </w:r>
          </w:p>
        </w:tc>
        <w:tc>
          <w:tcPr>
            <w:tcW w:w="893" w:type="dxa"/>
            <w:shd w:val="clear" w:color="000000" w:fill="FFFFFF"/>
            <w:vAlign w:val="center"/>
          </w:tcPr>
          <w:p>
            <w:pPr>
              <w:keepNext w:val="0"/>
              <w:keepLines w:val="0"/>
              <w:pageBreakBefore w:val="0"/>
              <w:widowControl/>
              <w:kinsoku/>
              <w:wordWrap/>
              <w:overflowPunct/>
              <w:topLinePunct w:val="0"/>
              <w:autoSpaceDE/>
              <w:autoSpaceDN/>
              <w:bidi w:val="0"/>
              <w:jc w:val="center"/>
              <w:textAlignment w:val="auto"/>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站</w:t>
            </w:r>
          </w:p>
        </w:tc>
        <w:tc>
          <w:tcPr>
            <w:tcW w:w="813" w:type="dxa"/>
            <w:shd w:val="clear" w:color="auto" w:fill="auto"/>
            <w:vAlign w:val="center"/>
          </w:tcPr>
          <w:p>
            <w:pPr>
              <w:keepNext w:val="0"/>
              <w:keepLines w:val="0"/>
              <w:pageBreakBefore w:val="0"/>
              <w:widowControl/>
              <w:kinsoku/>
              <w:wordWrap/>
              <w:overflowPunct/>
              <w:topLinePunct w:val="0"/>
              <w:autoSpaceDE/>
              <w:autoSpaceDN/>
              <w:bidi w:val="0"/>
              <w:jc w:val="center"/>
              <w:textAlignment w:val="auto"/>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1年</w:t>
            </w:r>
          </w:p>
        </w:tc>
        <w:tc>
          <w:tcPr>
            <w:tcW w:w="974" w:type="dxa"/>
            <w:vAlign w:val="center"/>
          </w:tcPr>
          <w:p>
            <w:pPr>
              <w:keepNext w:val="0"/>
              <w:keepLines w:val="0"/>
              <w:pageBreakBefore w:val="0"/>
              <w:widowControl/>
              <w:kinsoku/>
              <w:wordWrap/>
              <w:overflowPunct/>
              <w:topLinePunct w:val="0"/>
              <w:autoSpaceDE/>
              <w:autoSpaceDN/>
              <w:bidi w:val="0"/>
              <w:jc w:val="center"/>
              <w:textAlignment w:val="auto"/>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1年</w:t>
            </w:r>
          </w:p>
        </w:tc>
        <w:tc>
          <w:tcPr>
            <w:tcW w:w="3053" w:type="dxa"/>
            <w:vAlign w:val="center"/>
          </w:tcPr>
          <w:p>
            <w:pPr>
              <w:pStyle w:val="5"/>
              <w:widowControl/>
              <w:numPr>
                <w:ilvl w:val="0"/>
                <w:numId w:val="4"/>
              </w:numPr>
              <w:jc w:val="left"/>
              <w:rPr>
                <w:rFonts w:hint="eastAsia" w:ascii="仿宋" w:hAnsi="仿宋" w:eastAsia="仿宋" w:cs="仿宋"/>
                <w:color w:val="auto"/>
                <w:kern w:val="0"/>
                <w:sz w:val="22"/>
                <w:szCs w:val="22"/>
                <w:highlight w:val="none"/>
                <w:lang w:eastAsia="zh-CN"/>
              </w:rPr>
            </w:pPr>
            <w:r>
              <w:rPr>
                <w:rFonts w:hint="eastAsia" w:ascii="仿宋" w:hAnsi="仿宋" w:eastAsia="仿宋" w:cs="仿宋"/>
                <w:b w:val="0"/>
                <w:bCs w:val="0"/>
                <w:color w:val="auto"/>
                <w:kern w:val="0"/>
                <w:sz w:val="22"/>
                <w:szCs w:val="22"/>
                <w:highlight w:val="none"/>
              </w:rPr>
              <w:t>厂商要求</w:t>
            </w:r>
            <w:r>
              <w:rPr>
                <w:rFonts w:hint="eastAsia" w:ascii="仿宋" w:hAnsi="仿宋" w:eastAsia="仿宋" w:cs="仿宋"/>
                <w:b w:val="0"/>
                <w:bCs w:val="0"/>
                <w:color w:val="auto"/>
                <w:kern w:val="0"/>
                <w:sz w:val="22"/>
                <w:szCs w:val="22"/>
                <w:highlight w:val="none"/>
                <w:lang w:eastAsia="zh-CN"/>
              </w:rPr>
              <w:t>：</w:t>
            </w:r>
            <w:r>
              <w:rPr>
                <w:rFonts w:hint="eastAsia" w:ascii="仿宋" w:hAnsi="仿宋" w:eastAsia="仿宋" w:cs="仿宋"/>
                <w:color w:val="auto"/>
                <w:kern w:val="0"/>
                <w:sz w:val="22"/>
                <w:szCs w:val="22"/>
                <w:highlight w:val="none"/>
              </w:rPr>
              <w:t>应答人应具有独立订立合同的法人资格</w:t>
            </w:r>
            <w:r>
              <w:rPr>
                <w:rFonts w:hint="eastAsia" w:ascii="仿宋" w:hAnsi="仿宋" w:eastAsia="仿宋" w:cs="仿宋"/>
                <w:color w:val="auto"/>
                <w:kern w:val="0"/>
                <w:sz w:val="22"/>
                <w:szCs w:val="22"/>
                <w:highlight w:val="none"/>
                <w:lang w:eastAsia="zh-CN"/>
              </w:rPr>
              <w:t>；</w:t>
            </w:r>
          </w:p>
          <w:p>
            <w:pPr>
              <w:pStyle w:val="5"/>
              <w:widowControl/>
              <w:numPr>
                <w:ilvl w:val="0"/>
                <w:numId w:val="4"/>
              </w:numPr>
              <w:jc w:val="left"/>
              <w:rPr>
                <w:rFonts w:hint="eastAsia" w:ascii="仿宋" w:hAnsi="仿宋" w:eastAsia="仿宋" w:cs="宋体"/>
                <w:color w:val="auto"/>
                <w:sz w:val="22"/>
                <w:szCs w:val="22"/>
                <w:highlight w:val="none"/>
                <w:lang w:eastAsia="zh-CN"/>
              </w:rPr>
            </w:pPr>
            <w:r>
              <w:rPr>
                <w:rFonts w:hint="eastAsia" w:ascii="仿宋" w:hAnsi="仿宋" w:eastAsia="仿宋" w:cs="仿宋"/>
                <w:b w:val="0"/>
                <w:bCs w:val="0"/>
                <w:color w:val="auto"/>
                <w:kern w:val="0"/>
                <w:sz w:val="22"/>
                <w:szCs w:val="22"/>
                <w:highlight w:val="none"/>
              </w:rPr>
              <w:t>有效的安全生产许可证</w:t>
            </w:r>
            <w:r>
              <w:rPr>
                <w:rFonts w:hint="eastAsia" w:ascii="仿宋" w:hAnsi="仿宋" w:eastAsia="仿宋" w:cs="仿宋"/>
                <w:b w:val="0"/>
                <w:bCs w:val="0"/>
                <w:color w:val="auto"/>
                <w:kern w:val="0"/>
                <w:sz w:val="22"/>
                <w:szCs w:val="22"/>
                <w:highlight w:val="none"/>
                <w:lang w:eastAsia="zh-CN"/>
              </w:rPr>
              <w:t>：</w:t>
            </w:r>
            <w:r>
              <w:rPr>
                <w:rFonts w:hint="eastAsia" w:ascii="仿宋" w:hAnsi="仿宋" w:eastAsia="仿宋" w:cs="仿宋"/>
                <w:color w:val="auto"/>
                <w:kern w:val="0"/>
                <w:sz w:val="22"/>
                <w:szCs w:val="22"/>
                <w:highlight w:val="none"/>
              </w:rPr>
              <w:t>有效期内的安全生产许可证件</w:t>
            </w:r>
            <w:r>
              <w:rPr>
                <w:rFonts w:hint="eastAsia" w:ascii="仿宋" w:hAnsi="仿宋" w:eastAsia="仿宋" w:cs="仿宋"/>
                <w:color w:val="auto"/>
                <w:kern w:val="0"/>
                <w:sz w:val="22"/>
                <w:szCs w:val="22"/>
                <w:highlight w:val="none"/>
                <w:lang w:eastAsia="zh-CN"/>
              </w:rPr>
              <w:t>；</w:t>
            </w:r>
          </w:p>
          <w:p>
            <w:pPr>
              <w:pStyle w:val="5"/>
              <w:widowControl/>
              <w:numPr>
                <w:ilvl w:val="0"/>
                <w:numId w:val="4"/>
              </w:numPr>
              <w:jc w:val="left"/>
              <w:rPr>
                <w:rFonts w:ascii="仿宋" w:hAnsi="仿宋" w:eastAsia="仿宋" w:cs="宋体"/>
                <w:color w:val="auto"/>
                <w:sz w:val="22"/>
                <w:szCs w:val="22"/>
                <w:highlight w:val="none"/>
              </w:rPr>
            </w:pPr>
            <w:r>
              <w:rPr>
                <w:rFonts w:hint="eastAsia" w:ascii="仿宋" w:hAnsi="仿宋" w:eastAsia="仿宋" w:cs="仿宋"/>
                <w:b w:val="0"/>
                <w:bCs w:val="0"/>
                <w:color w:val="auto"/>
                <w:kern w:val="0"/>
                <w:sz w:val="22"/>
                <w:szCs w:val="22"/>
                <w:highlight w:val="none"/>
              </w:rPr>
              <w:t>有效的资质等级证书</w:t>
            </w:r>
            <w:r>
              <w:rPr>
                <w:rFonts w:hint="eastAsia" w:ascii="仿宋" w:hAnsi="仿宋" w:eastAsia="仿宋" w:cs="仿宋"/>
                <w:b w:val="0"/>
                <w:bCs w:val="0"/>
                <w:color w:val="auto"/>
                <w:kern w:val="0"/>
                <w:sz w:val="22"/>
                <w:szCs w:val="22"/>
                <w:highlight w:val="none"/>
                <w:lang w:eastAsia="zh-CN"/>
              </w:rPr>
              <w:t>：</w:t>
            </w:r>
            <w:r>
              <w:rPr>
                <w:rFonts w:hint="eastAsia" w:ascii="仿宋" w:hAnsi="仿宋" w:eastAsia="仿宋" w:cs="仿宋"/>
                <w:color w:val="auto"/>
                <w:kern w:val="0"/>
                <w:sz w:val="22"/>
                <w:szCs w:val="22"/>
                <w:highlight w:val="none"/>
              </w:rPr>
              <w:t>建筑机电安装工程专业承包叁级或机电工程施工总承包叁级或电子与智能化工程专业承包叁级或输变电站工程专业承包叁级及以上资质</w:t>
            </w:r>
            <w:r>
              <w:rPr>
                <w:rFonts w:hint="eastAsia" w:ascii="仿宋" w:hAnsi="仿宋" w:eastAsia="仿宋" w:cs="仿宋"/>
                <w:color w:val="auto"/>
                <w:kern w:val="0"/>
                <w:sz w:val="22"/>
                <w:szCs w:val="22"/>
                <w:highlight w:val="none"/>
                <w:lang w:eastAsia="zh-CN"/>
              </w:rPr>
              <w:t>；</w:t>
            </w:r>
          </w:p>
          <w:p>
            <w:pPr>
              <w:pStyle w:val="5"/>
              <w:widowControl/>
              <w:numPr>
                <w:ilvl w:val="0"/>
                <w:numId w:val="4"/>
              </w:numPr>
              <w:jc w:val="left"/>
              <w:rPr>
                <w:rFonts w:ascii="仿宋" w:hAnsi="仿宋" w:eastAsia="仿宋" w:cs="宋体"/>
                <w:color w:val="auto"/>
                <w:sz w:val="22"/>
                <w:szCs w:val="22"/>
                <w:highlight w:val="none"/>
              </w:rPr>
            </w:pPr>
            <w:r>
              <w:rPr>
                <w:rFonts w:hint="eastAsia" w:ascii="仿宋" w:hAnsi="仿宋" w:eastAsia="仿宋" w:cs="仿宋"/>
                <w:b w:val="0"/>
                <w:bCs w:val="0"/>
                <w:color w:val="auto"/>
                <w:kern w:val="0"/>
                <w:sz w:val="22"/>
                <w:szCs w:val="22"/>
                <w:highlight w:val="none"/>
              </w:rPr>
              <w:t>备注</w:t>
            </w:r>
            <w:r>
              <w:rPr>
                <w:rFonts w:hint="eastAsia" w:ascii="仿宋" w:hAnsi="仿宋" w:eastAsia="仿宋" w:cs="仿宋"/>
                <w:b w:val="0"/>
                <w:bCs w:val="0"/>
                <w:color w:val="auto"/>
                <w:kern w:val="0"/>
                <w:sz w:val="22"/>
                <w:szCs w:val="22"/>
                <w:highlight w:val="none"/>
                <w:lang w:eastAsia="zh-CN"/>
              </w:rPr>
              <w:t>：</w:t>
            </w:r>
            <w:r>
              <w:rPr>
                <w:rFonts w:hint="eastAsia" w:ascii="仿宋" w:hAnsi="仿宋" w:eastAsia="仿宋" w:cs="仿宋"/>
                <w:color w:val="auto"/>
                <w:kern w:val="0"/>
                <w:sz w:val="22"/>
                <w:szCs w:val="22"/>
                <w:highlight w:val="none"/>
              </w:rPr>
              <w:t>不接受代理商及联合体投标</w:t>
            </w:r>
            <w:r>
              <w:rPr>
                <w:rFonts w:hint="eastAsia" w:ascii="仿宋" w:hAnsi="仿宋" w:eastAsia="仿宋" w:cs="仿宋"/>
                <w:color w:val="auto"/>
                <w:kern w:val="0"/>
                <w:sz w:val="22"/>
                <w:szCs w:val="22"/>
                <w:highlight w:val="none"/>
                <w:lang w:eastAsia="zh-CN"/>
              </w:rPr>
              <w:t>。</w:t>
            </w:r>
          </w:p>
        </w:tc>
        <w:tc>
          <w:tcPr>
            <w:tcW w:w="1316" w:type="dxa"/>
            <w:vAlign w:val="center"/>
          </w:tcPr>
          <w:p>
            <w:pPr>
              <w:pStyle w:val="5"/>
              <w:widowControl/>
              <w:jc w:val="center"/>
              <w:rPr>
                <w:rFonts w:hint="eastAsia" w:ascii="仿宋" w:hAnsi="仿宋" w:eastAsia="仿宋" w:cs="宋体"/>
                <w:color w:val="auto"/>
                <w:sz w:val="22"/>
                <w:szCs w:val="22"/>
                <w:highlight w:val="none"/>
                <w:lang w:val="en-US" w:eastAsia="zh-CN"/>
              </w:rPr>
            </w:pPr>
            <w:r>
              <w:rPr>
                <w:rFonts w:hint="eastAsia" w:ascii="仿宋" w:hAnsi="仿宋" w:eastAsia="仿宋" w:cs="宋体"/>
                <w:color w:val="auto"/>
                <w:sz w:val="22"/>
                <w:szCs w:val="22"/>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893" w:type="dxa"/>
            <w:vAlign w:val="center"/>
          </w:tcPr>
          <w:p>
            <w:pPr>
              <w:pStyle w:val="5"/>
              <w:widowControl/>
              <w:jc w:val="center"/>
              <w:rPr>
                <w:rFonts w:hint="eastAsia" w:ascii="仿宋" w:hAnsi="仿宋" w:eastAsia="仿宋" w:cs="Arial"/>
                <w:color w:val="auto"/>
                <w:sz w:val="22"/>
                <w:szCs w:val="22"/>
                <w:highlight w:val="none"/>
                <w:lang w:eastAsia="zh-CN"/>
              </w:rPr>
            </w:pPr>
            <w:r>
              <w:rPr>
                <w:rFonts w:hint="eastAsia" w:ascii="仿宋" w:hAnsi="仿宋" w:eastAsia="仿宋" w:cs="Arial"/>
                <w:color w:val="auto"/>
                <w:sz w:val="22"/>
                <w:szCs w:val="22"/>
                <w:highlight w:val="none"/>
              </w:rPr>
              <w:t>包</w:t>
            </w:r>
            <w:r>
              <w:rPr>
                <w:rFonts w:hint="eastAsia" w:ascii="仿宋" w:hAnsi="仿宋" w:eastAsia="仿宋" w:cs="Arial"/>
                <w:color w:val="auto"/>
                <w:sz w:val="22"/>
                <w:szCs w:val="22"/>
                <w:highlight w:val="none"/>
                <w:lang w:val="en-US" w:eastAsia="zh-CN"/>
              </w:rPr>
              <w:t>5</w:t>
            </w:r>
          </w:p>
        </w:tc>
        <w:tc>
          <w:tcPr>
            <w:tcW w:w="1522" w:type="dxa"/>
            <w:shd w:val="clear" w:color="auto" w:fill="auto"/>
            <w:vAlign w:val="center"/>
          </w:tcPr>
          <w:p>
            <w:pPr>
              <w:keepNext w:val="0"/>
              <w:keepLines w:val="0"/>
              <w:pageBreakBefore w:val="0"/>
              <w:widowControl/>
              <w:kinsoku/>
              <w:wordWrap/>
              <w:overflowPunct/>
              <w:topLinePunct w:val="0"/>
              <w:autoSpaceDE/>
              <w:autoSpaceDN/>
              <w:bidi w:val="0"/>
              <w:jc w:val="center"/>
              <w:textAlignment w:val="auto"/>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变电站在线智能巡视系统安装服务项目（包五）</w:t>
            </w:r>
          </w:p>
        </w:tc>
        <w:tc>
          <w:tcPr>
            <w:tcW w:w="3138" w:type="dxa"/>
            <w:shd w:val="clear" w:color="auto" w:fill="auto"/>
            <w:vAlign w:val="center"/>
          </w:tcPr>
          <w:p>
            <w:pPr>
              <w:keepNext w:val="0"/>
              <w:keepLines w:val="0"/>
              <w:pageBreakBefore w:val="0"/>
              <w:widowControl/>
              <w:kinsoku/>
              <w:wordWrap/>
              <w:overflowPunct/>
              <w:topLinePunct w:val="0"/>
              <w:autoSpaceDE/>
              <w:autoSpaceDN/>
              <w:bidi w:val="0"/>
              <w:jc w:val="left"/>
              <w:textAlignment w:val="auto"/>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变电站在线智能巡视安装服务项目内容包括：高清网络摄像机安装；监控立杆安装；辅助控制箱安装；电源电缆及网线敷设；光纤敷设；各类管材线槽安装；墙面开槽及恢复；电缆沟开挖及回填；后台系统设备安装；屏柜安装；系统接地；防火封堵；所涉及的的建筑和绿化设施拆除和恢复；招标方要求的各类设计外少量的零星施工和用工工作；其它投运站点的少量维护工作。</w:t>
            </w:r>
          </w:p>
        </w:tc>
        <w:tc>
          <w:tcPr>
            <w:tcW w:w="974" w:type="dxa"/>
            <w:shd w:val="clear" w:color="000000" w:fill="FFFFFF"/>
            <w:vAlign w:val="center"/>
          </w:tcPr>
          <w:p>
            <w:pPr>
              <w:keepNext w:val="0"/>
              <w:keepLines w:val="0"/>
              <w:pageBreakBefore w:val="0"/>
              <w:widowControl/>
              <w:kinsoku/>
              <w:wordWrap/>
              <w:overflowPunct/>
              <w:topLinePunct w:val="0"/>
              <w:autoSpaceDE/>
              <w:autoSpaceDN/>
              <w:bidi w:val="0"/>
              <w:jc w:val="center"/>
              <w:textAlignment w:val="auto"/>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25</w:t>
            </w:r>
          </w:p>
        </w:tc>
        <w:tc>
          <w:tcPr>
            <w:tcW w:w="893" w:type="dxa"/>
            <w:shd w:val="clear" w:color="000000" w:fill="FFFFFF"/>
            <w:vAlign w:val="center"/>
          </w:tcPr>
          <w:p>
            <w:pPr>
              <w:keepNext w:val="0"/>
              <w:keepLines w:val="0"/>
              <w:pageBreakBefore w:val="0"/>
              <w:widowControl/>
              <w:kinsoku/>
              <w:wordWrap/>
              <w:overflowPunct/>
              <w:topLinePunct w:val="0"/>
              <w:autoSpaceDE/>
              <w:autoSpaceDN/>
              <w:bidi w:val="0"/>
              <w:jc w:val="center"/>
              <w:textAlignment w:val="auto"/>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站</w:t>
            </w:r>
          </w:p>
        </w:tc>
        <w:tc>
          <w:tcPr>
            <w:tcW w:w="813" w:type="dxa"/>
            <w:shd w:val="clear" w:color="auto" w:fill="auto"/>
            <w:vAlign w:val="center"/>
          </w:tcPr>
          <w:p>
            <w:pPr>
              <w:keepNext w:val="0"/>
              <w:keepLines w:val="0"/>
              <w:pageBreakBefore w:val="0"/>
              <w:widowControl/>
              <w:kinsoku/>
              <w:wordWrap/>
              <w:overflowPunct/>
              <w:topLinePunct w:val="0"/>
              <w:autoSpaceDE/>
              <w:autoSpaceDN/>
              <w:bidi w:val="0"/>
              <w:jc w:val="center"/>
              <w:textAlignment w:val="auto"/>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1年</w:t>
            </w:r>
          </w:p>
        </w:tc>
        <w:tc>
          <w:tcPr>
            <w:tcW w:w="974" w:type="dxa"/>
            <w:vAlign w:val="center"/>
          </w:tcPr>
          <w:p>
            <w:pPr>
              <w:keepNext w:val="0"/>
              <w:keepLines w:val="0"/>
              <w:pageBreakBefore w:val="0"/>
              <w:widowControl/>
              <w:kinsoku/>
              <w:wordWrap/>
              <w:overflowPunct/>
              <w:topLinePunct w:val="0"/>
              <w:autoSpaceDE/>
              <w:autoSpaceDN/>
              <w:bidi w:val="0"/>
              <w:jc w:val="center"/>
              <w:textAlignment w:val="auto"/>
              <w:rPr>
                <w:rFonts w:ascii="仿宋" w:hAnsi="仿宋" w:eastAsia="仿宋" w:cs="Arial"/>
                <w:color w:val="auto"/>
                <w:sz w:val="22"/>
                <w:szCs w:val="22"/>
                <w:highlight w:val="none"/>
              </w:rPr>
            </w:pPr>
            <w:r>
              <w:rPr>
                <w:rFonts w:hint="eastAsia" w:ascii="仿宋" w:hAnsi="仿宋" w:eastAsia="仿宋" w:cs="仿宋"/>
                <w:color w:val="auto"/>
                <w:kern w:val="0"/>
                <w:sz w:val="22"/>
                <w:szCs w:val="22"/>
                <w:highlight w:val="none"/>
              </w:rPr>
              <w:t>1年</w:t>
            </w:r>
          </w:p>
        </w:tc>
        <w:tc>
          <w:tcPr>
            <w:tcW w:w="3053" w:type="dxa"/>
            <w:vAlign w:val="center"/>
          </w:tcPr>
          <w:p>
            <w:pPr>
              <w:pStyle w:val="5"/>
              <w:widowControl/>
              <w:numPr>
                <w:ilvl w:val="0"/>
                <w:numId w:val="5"/>
              </w:numPr>
              <w:jc w:val="left"/>
              <w:rPr>
                <w:rFonts w:hint="eastAsia" w:ascii="仿宋" w:hAnsi="仿宋" w:eastAsia="仿宋" w:cs="仿宋"/>
                <w:color w:val="auto"/>
                <w:kern w:val="0"/>
                <w:sz w:val="22"/>
                <w:szCs w:val="22"/>
                <w:highlight w:val="none"/>
                <w:lang w:eastAsia="zh-CN"/>
              </w:rPr>
            </w:pPr>
            <w:r>
              <w:rPr>
                <w:rFonts w:hint="eastAsia" w:ascii="仿宋" w:hAnsi="仿宋" w:eastAsia="仿宋" w:cs="仿宋"/>
                <w:b w:val="0"/>
                <w:bCs w:val="0"/>
                <w:color w:val="auto"/>
                <w:kern w:val="0"/>
                <w:sz w:val="22"/>
                <w:szCs w:val="22"/>
                <w:highlight w:val="none"/>
              </w:rPr>
              <w:t>厂商要求</w:t>
            </w:r>
            <w:r>
              <w:rPr>
                <w:rFonts w:hint="eastAsia" w:ascii="仿宋" w:hAnsi="仿宋" w:eastAsia="仿宋" w:cs="仿宋"/>
                <w:b w:val="0"/>
                <w:bCs w:val="0"/>
                <w:color w:val="auto"/>
                <w:kern w:val="0"/>
                <w:sz w:val="22"/>
                <w:szCs w:val="22"/>
                <w:highlight w:val="none"/>
                <w:lang w:eastAsia="zh-CN"/>
              </w:rPr>
              <w:t>：</w:t>
            </w:r>
            <w:r>
              <w:rPr>
                <w:rFonts w:hint="eastAsia" w:ascii="仿宋" w:hAnsi="仿宋" w:eastAsia="仿宋" w:cs="仿宋"/>
                <w:color w:val="auto"/>
                <w:kern w:val="0"/>
                <w:sz w:val="22"/>
                <w:szCs w:val="22"/>
                <w:highlight w:val="none"/>
              </w:rPr>
              <w:t>应答人应具有独立订立合同的法人资格</w:t>
            </w:r>
            <w:r>
              <w:rPr>
                <w:rFonts w:hint="eastAsia" w:ascii="仿宋" w:hAnsi="仿宋" w:eastAsia="仿宋" w:cs="仿宋"/>
                <w:color w:val="auto"/>
                <w:kern w:val="0"/>
                <w:sz w:val="22"/>
                <w:szCs w:val="22"/>
                <w:highlight w:val="none"/>
                <w:lang w:eastAsia="zh-CN"/>
              </w:rPr>
              <w:t>；</w:t>
            </w:r>
          </w:p>
          <w:p>
            <w:pPr>
              <w:pStyle w:val="5"/>
              <w:widowControl/>
              <w:numPr>
                <w:ilvl w:val="0"/>
                <w:numId w:val="5"/>
              </w:numPr>
              <w:jc w:val="left"/>
              <w:rPr>
                <w:rFonts w:hint="eastAsia" w:ascii="仿宋" w:hAnsi="仿宋" w:eastAsia="仿宋" w:cs="宋体"/>
                <w:color w:val="auto"/>
                <w:sz w:val="22"/>
                <w:szCs w:val="22"/>
                <w:highlight w:val="none"/>
                <w:lang w:eastAsia="zh-CN"/>
              </w:rPr>
            </w:pPr>
            <w:r>
              <w:rPr>
                <w:rFonts w:hint="eastAsia" w:ascii="仿宋" w:hAnsi="仿宋" w:eastAsia="仿宋" w:cs="仿宋"/>
                <w:b w:val="0"/>
                <w:bCs w:val="0"/>
                <w:color w:val="auto"/>
                <w:kern w:val="0"/>
                <w:sz w:val="22"/>
                <w:szCs w:val="22"/>
                <w:highlight w:val="none"/>
              </w:rPr>
              <w:t>有效的安全生产许可证</w:t>
            </w:r>
            <w:r>
              <w:rPr>
                <w:rFonts w:hint="eastAsia" w:ascii="仿宋" w:hAnsi="仿宋" w:eastAsia="仿宋" w:cs="仿宋"/>
                <w:b w:val="0"/>
                <w:bCs w:val="0"/>
                <w:color w:val="auto"/>
                <w:kern w:val="0"/>
                <w:sz w:val="22"/>
                <w:szCs w:val="22"/>
                <w:highlight w:val="none"/>
                <w:lang w:eastAsia="zh-CN"/>
              </w:rPr>
              <w:t>：</w:t>
            </w:r>
            <w:r>
              <w:rPr>
                <w:rFonts w:hint="eastAsia" w:ascii="仿宋" w:hAnsi="仿宋" w:eastAsia="仿宋" w:cs="仿宋"/>
                <w:color w:val="auto"/>
                <w:kern w:val="0"/>
                <w:sz w:val="22"/>
                <w:szCs w:val="22"/>
                <w:highlight w:val="none"/>
              </w:rPr>
              <w:t>有效期内的安全生产许可证件</w:t>
            </w:r>
            <w:r>
              <w:rPr>
                <w:rFonts w:hint="eastAsia" w:ascii="仿宋" w:hAnsi="仿宋" w:eastAsia="仿宋" w:cs="仿宋"/>
                <w:color w:val="auto"/>
                <w:kern w:val="0"/>
                <w:sz w:val="22"/>
                <w:szCs w:val="22"/>
                <w:highlight w:val="none"/>
                <w:lang w:eastAsia="zh-CN"/>
              </w:rPr>
              <w:t>；</w:t>
            </w:r>
          </w:p>
          <w:p>
            <w:pPr>
              <w:pStyle w:val="5"/>
              <w:widowControl/>
              <w:numPr>
                <w:ilvl w:val="0"/>
                <w:numId w:val="5"/>
              </w:numPr>
              <w:jc w:val="left"/>
              <w:rPr>
                <w:rFonts w:ascii="仿宋" w:hAnsi="仿宋" w:eastAsia="仿宋" w:cs="宋体"/>
                <w:color w:val="auto"/>
                <w:sz w:val="22"/>
                <w:szCs w:val="22"/>
                <w:highlight w:val="none"/>
              </w:rPr>
            </w:pPr>
            <w:r>
              <w:rPr>
                <w:rFonts w:hint="eastAsia" w:ascii="仿宋" w:hAnsi="仿宋" w:eastAsia="仿宋" w:cs="仿宋"/>
                <w:b w:val="0"/>
                <w:bCs w:val="0"/>
                <w:color w:val="auto"/>
                <w:kern w:val="0"/>
                <w:sz w:val="22"/>
                <w:szCs w:val="22"/>
                <w:highlight w:val="none"/>
              </w:rPr>
              <w:t>有效的资质等级证书</w:t>
            </w:r>
            <w:r>
              <w:rPr>
                <w:rFonts w:hint="eastAsia" w:ascii="仿宋" w:hAnsi="仿宋" w:eastAsia="仿宋" w:cs="仿宋"/>
                <w:b w:val="0"/>
                <w:bCs w:val="0"/>
                <w:color w:val="auto"/>
                <w:kern w:val="0"/>
                <w:sz w:val="22"/>
                <w:szCs w:val="22"/>
                <w:highlight w:val="none"/>
                <w:lang w:eastAsia="zh-CN"/>
              </w:rPr>
              <w:t>：</w:t>
            </w:r>
            <w:r>
              <w:rPr>
                <w:rFonts w:hint="eastAsia" w:ascii="仿宋" w:hAnsi="仿宋" w:eastAsia="仿宋" w:cs="仿宋"/>
                <w:color w:val="auto"/>
                <w:kern w:val="0"/>
                <w:sz w:val="22"/>
                <w:szCs w:val="22"/>
                <w:highlight w:val="none"/>
              </w:rPr>
              <w:t>建筑机电安装工程专业承包叁级或机电工程施工总承包叁级或电子与智能化工程专业承包叁级或输变电站工程专业承包叁级及以上资质</w:t>
            </w:r>
            <w:r>
              <w:rPr>
                <w:rFonts w:hint="eastAsia" w:ascii="仿宋" w:hAnsi="仿宋" w:eastAsia="仿宋" w:cs="仿宋"/>
                <w:color w:val="auto"/>
                <w:kern w:val="0"/>
                <w:sz w:val="22"/>
                <w:szCs w:val="22"/>
                <w:highlight w:val="none"/>
                <w:lang w:eastAsia="zh-CN"/>
              </w:rPr>
              <w:t>；</w:t>
            </w:r>
          </w:p>
          <w:p>
            <w:pPr>
              <w:pStyle w:val="5"/>
              <w:widowControl/>
              <w:numPr>
                <w:ilvl w:val="0"/>
                <w:numId w:val="5"/>
              </w:numPr>
              <w:jc w:val="left"/>
              <w:rPr>
                <w:rFonts w:ascii="仿宋" w:hAnsi="仿宋" w:eastAsia="仿宋" w:cs="宋体"/>
                <w:color w:val="auto"/>
                <w:sz w:val="22"/>
                <w:szCs w:val="22"/>
                <w:highlight w:val="none"/>
              </w:rPr>
            </w:pPr>
            <w:r>
              <w:rPr>
                <w:rFonts w:hint="eastAsia" w:ascii="仿宋" w:hAnsi="仿宋" w:eastAsia="仿宋" w:cs="仿宋"/>
                <w:b w:val="0"/>
                <w:bCs w:val="0"/>
                <w:color w:val="auto"/>
                <w:kern w:val="0"/>
                <w:sz w:val="22"/>
                <w:szCs w:val="22"/>
                <w:highlight w:val="none"/>
              </w:rPr>
              <w:t>备注</w:t>
            </w:r>
            <w:r>
              <w:rPr>
                <w:rFonts w:hint="eastAsia" w:ascii="仿宋" w:hAnsi="仿宋" w:eastAsia="仿宋" w:cs="仿宋"/>
                <w:b w:val="0"/>
                <w:bCs w:val="0"/>
                <w:color w:val="auto"/>
                <w:kern w:val="0"/>
                <w:sz w:val="22"/>
                <w:szCs w:val="22"/>
                <w:highlight w:val="none"/>
                <w:lang w:eastAsia="zh-CN"/>
              </w:rPr>
              <w:t>：</w:t>
            </w:r>
            <w:r>
              <w:rPr>
                <w:rFonts w:hint="eastAsia" w:ascii="仿宋" w:hAnsi="仿宋" w:eastAsia="仿宋" w:cs="仿宋"/>
                <w:color w:val="auto"/>
                <w:kern w:val="0"/>
                <w:sz w:val="22"/>
                <w:szCs w:val="22"/>
                <w:highlight w:val="none"/>
              </w:rPr>
              <w:t>不接受代理商及联合体投标</w:t>
            </w:r>
            <w:r>
              <w:rPr>
                <w:rFonts w:hint="eastAsia" w:ascii="仿宋" w:hAnsi="仿宋" w:eastAsia="仿宋" w:cs="仿宋"/>
                <w:color w:val="auto"/>
                <w:kern w:val="0"/>
                <w:sz w:val="22"/>
                <w:szCs w:val="22"/>
                <w:highlight w:val="none"/>
                <w:lang w:eastAsia="zh-CN"/>
              </w:rPr>
              <w:t>。</w:t>
            </w:r>
          </w:p>
        </w:tc>
        <w:tc>
          <w:tcPr>
            <w:tcW w:w="1316" w:type="dxa"/>
            <w:vAlign w:val="center"/>
          </w:tcPr>
          <w:p>
            <w:pPr>
              <w:pStyle w:val="5"/>
              <w:widowControl/>
              <w:jc w:val="center"/>
              <w:rPr>
                <w:rFonts w:hint="eastAsia" w:ascii="仿宋" w:hAnsi="仿宋" w:eastAsia="仿宋" w:cs="宋体"/>
                <w:color w:val="auto"/>
                <w:sz w:val="22"/>
                <w:szCs w:val="22"/>
                <w:highlight w:val="none"/>
                <w:lang w:val="en-US" w:eastAsia="zh-CN"/>
              </w:rPr>
            </w:pPr>
            <w:r>
              <w:rPr>
                <w:rFonts w:hint="eastAsia" w:ascii="仿宋" w:hAnsi="仿宋" w:eastAsia="仿宋" w:cs="宋体"/>
                <w:color w:val="auto"/>
                <w:sz w:val="22"/>
                <w:szCs w:val="22"/>
                <w:highlight w:val="none"/>
                <w:lang w:val="en-US" w:eastAsia="zh-CN"/>
              </w:rPr>
              <w:t>4</w:t>
            </w:r>
          </w:p>
        </w:tc>
      </w:tr>
    </w:tbl>
    <w:p>
      <w:pPr>
        <w:pStyle w:val="5"/>
        <w:rPr>
          <w:rFonts w:ascii="仿宋" w:hAnsi="仿宋" w:eastAsia="仿宋"/>
          <w:color w:val="auto"/>
          <w:sz w:val="22"/>
          <w:szCs w:val="22"/>
          <w:highlight w:val="none"/>
        </w:rPr>
      </w:pPr>
      <w:r>
        <w:rPr>
          <w:rFonts w:hint="eastAsia" w:ascii="仿宋" w:hAnsi="仿宋" w:eastAsia="仿宋"/>
          <w:color w:val="auto"/>
          <w:sz w:val="22"/>
          <w:szCs w:val="22"/>
          <w:highlight w:val="none"/>
        </w:rPr>
        <w:t>具体服务不局限于上述招标需求一览表，根据生产需求，甲方有权保证在中标标段内保持合同额基本一致情况下，对不同类型的工作进行调整。</w:t>
      </w:r>
    </w:p>
    <w:p>
      <w:pPr>
        <w:pStyle w:val="5"/>
        <w:rPr>
          <w:rFonts w:ascii="仿宋" w:hAnsi="仿宋" w:eastAsia="仿宋"/>
          <w:color w:val="auto"/>
          <w:sz w:val="22"/>
          <w:szCs w:val="22"/>
          <w:highlight w:val="none"/>
        </w:rPr>
      </w:pPr>
      <w:r>
        <w:rPr>
          <w:rFonts w:hint="eastAsia" w:ascii="仿宋" w:hAnsi="仿宋" w:eastAsia="仿宋"/>
          <w:color w:val="auto"/>
          <w:sz w:val="22"/>
          <w:szCs w:val="22"/>
          <w:highlight w:val="none"/>
        </w:rPr>
        <w:t>备注：</w:t>
      </w:r>
    </w:p>
    <w:p>
      <w:pPr>
        <w:pStyle w:val="5"/>
        <w:rPr>
          <w:rFonts w:ascii="仿宋" w:hAnsi="仿宋" w:eastAsia="仿宋"/>
          <w:color w:val="auto"/>
          <w:sz w:val="22"/>
          <w:szCs w:val="22"/>
          <w:highlight w:val="none"/>
        </w:rPr>
      </w:pPr>
      <w:r>
        <w:rPr>
          <w:rFonts w:hint="eastAsia" w:ascii="仿宋" w:hAnsi="仿宋" w:eastAsia="仿宋"/>
          <w:color w:val="auto"/>
          <w:sz w:val="22"/>
          <w:szCs w:val="22"/>
          <w:highlight w:val="none"/>
        </w:rPr>
        <w:t>1.取得《国家电网有限公司集中规模招标采购供应商资质能力核实证明》（以下简称《核实证明》）的投标人，应按要求使用该《核实证明》。《核实证明》含有的业绩、试验报告不能满足招标文件要求的，需要提供满足要求的业绩、试验报告等证明材料；未取得《核实证明》的，投标人需要提供对应支持证明材料。</w:t>
      </w:r>
    </w:p>
    <w:p>
      <w:pPr>
        <w:pStyle w:val="5"/>
        <w:tabs>
          <w:tab w:val="left" w:pos="625"/>
        </w:tabs>
        <w:rPr>
          <w:rFonts w:ascii="仿宋" w:hAnsi="仿宋" w:eastAsia="仿宋"/>
          <w:color w:val="auto"/>
          <w:sz w:val="22"/>
          <w:szCs w:val="22"/>
          <w:highlight w:val="none"/>
        </w:rPr>
      </w:pPr>
      <w:r>
        <w:rPr>
          <w:rFonts w:hint="eastAsia" w:ascii="仿宋" w:hAnsi="仿宋" w:eastAsia="仿宋"/>
          <w:color w:val="auto"/>
          <w:sz w:val="22"/>
          <w:szCs w:val="22"/>
          <w:highlight w:val="none"/>
        </w:rPr>
        <w:t>2.投标文件中提供的证明材料复印件应复印清晰、可辨认且不得遮盖、涂抹，否则视为无效。</w:t>
      </w:r>
    </w:p>
    <w:p>
      <w:bookmarkStart w:id="0" w:name="_GoBack"/>
      <w:bookmarkEnd w:id="0"/>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b/>
        <w:sz w:val="24"/>
        <w:szCs w:val="24"/>
      </w:rPr>
      <w:fldChar w:fldCharType="begin"/>
    </w:r>
    <w:r>
      <w:rPr>
        <w:b/>
      </w:rPr>
      <w:instrText xml:space="preserve">PAGE</w:instrText>
    </w:r>
    <w:r>
      <w:rPr>
        <w:b/>
        <w:sz w:val="24"/>
        <w:szCs w:val="24"/>
      </w:rPr>
      <w:fldChar w:fldCharType="separate"/>
    </w:r>
    <w:r>
      <w:rPr>
        <w:b/>
      </w:rPr>
      <w:t>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B38E2A"/>
    <w:multiLevelType w:val="singleLevel"/>
    <w:tmpl w:val="A7B38E2A"/>
    <w:lvl w:ilvl="0" w:tentative="0">
      <w:start w:val="1"/>
      <w:numFmt w:val="decimal"/>
      <w:lvlText w:val="%1."/>
      <w:lvlJc w:val="left"/>
      <w:pPr>
        <w:tabs>
          <w:tab w:val="left" w:pos="312"/>
        </w:tabs>
      </w:pPr>
    </w:lvl>
  </w:abstractNum>
  <w:abstractNum w:abstractNumId="1">
    <w:nsid w:val="FF31CF78"/>
    <w:multiLevelType w:val="singleLevel"/>
    <w:tmpl w:val="FF31CF78"/>
    <w:lvl w:ilvl="0" w:tentative="0">
      <w:start w:val="1"/>
      <w:numFmt w:val="decimal"/>
      <w:lvlText w:val="%1."/>
      <w:lvlJc w:val="left"/>
      <w:pPr>
        <w:tabs>
          <w:tab w:val="left" w:pos="312"/>
        </w:tabs>
      </w:pPr>
    </w:lvl>
  </w:abstractNum>
  <w:abstractNum w:abstractNumId="2">
    <w:nsid w:val="1D930B64"/>
    <w:multiLevelType w:val="singleLevel"/>
    <w:tmpl w:val="1D930B64"/>
    <w:lvl w:ilvl="0" w:tentative="0">
      <w:start w:val="1"/>
      <w:numFmt w:val="decimal"/>
      <w:lvlText w:val="%1."/>
      <w:lvlJc w:val="left"/>
      <w:pPr>
        <w:tabs>
          <w:tab w:val="left" w:pos="312"/>
        </w:tabs>
      </w:pPr>
    </w:lvl>
  </w:abstractNum>
  <w:abstractNum w:abstractNumId="3">
    <w:nsid w:val="546DCB8F"/>
    <w:multiLevelType w:val="singleLevel"/>
    <w:tmpl w:val="546DCB8F"/>
    <w:lvl w:ilvl="0" w:tentative="0">
      <w:start w:val="1"/>
      <w:numFmt w:val="decimal"/>
      <w:lvlText w:val="%1."/>
      <w:lvlJc w:val="left"/>
      <w:pPr>
        <w:tabs>
          <w:tab w:val="left" w:pos="312"/>
        </w:tabs>
      </w:pPr>
    </w:lvl>
  </w:abstractNum>
  <w:abstractNum w:abstractNumId="4">
    <w:nsid w:val="6C89870D"/>
    <w:multiLevelType w:val="singleLevel"/>
    <w:tmpl w:val="6C89870D"/>
    <w:lvl w:ilvl="0" w:tentative="0">
      <w:start w:val="1"/>
      <w:numFmt w:val="decimal"/>
      <w:lvlText w:val="%1."/>
      <w:lvlJc w:val="left"/>
      <w:pPr>
        <w:tabs>
          <w:tab w:val="left" w:pos="312"/>
        </w:tabs>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640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Normal_1"/>
    <w:qFormat/>
    <w:uiPriority w:val="0"/>
    <w:pPr>
      <w:widowControl w:val="0"/>
      <w:jc w:val="both"/>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2021-03-04T13:11:59Z</dcterms:created>
  <dc:creator>DELL</dc:creator>
  <cp:lastModifiedBy>北辰</cp:lastModifiedBy>
  <dcterms:modified xsi:type="dcterms:W3CDTF">2021-03-04T13:12:26Z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