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Arial"/>
          <w:b/>
          <w:bCs/>
          <w:color w:val="auto"/>
          <w:kern w:val="0"/>
          <w:szCs w:val="21"/>
          <w:highlight w:val="none"/>
        </w:rPr>
      </w:pPr>
      <w:r>
        <w:rPr>
          <w:rFonts w:hint="eastAsia" w:ascii="仿宋" w:hAnsi="仿宋" w:eastAsia="仿宋" w:cs="Arial"/>
          <w:b/>
          <w:bCs/>
          <w:color w:val="auto"/>
          <w:kern w:val="0"/>
          <w:szCs w:val="21"/>
          <w:highlight w:val="none"/>
        </w:rPr>
        <w:t>附件1   招标需求一览表</w:t>
      </w:r>
    </w:p>
    <w:tbl>
      <w:tblPr>
        <w:tblStyle w:val="3"/>
        <w:tblW w:w="13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522"/>
        <w:gridCol w:w="3138"/>
        <w:gridCol w:w="974"/>
        <w:gridCol w:w="893"/>
        <w:gridCol w:w="813"/>
        <w:gridCol w:w="974"/>
        <w:gridCol w:w="3053"/>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93" w:type="dxa"/>
            <w:vAlign w:val="center"/>
          </w:tcPr>
          <w:p>
            <w:pPr>
              <w:pStyle w:val="5"/>
              <w:widowControl/>
              <w:jc w:val="center"/>
              <w:rPr>
                <w:rFonts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rPr>
              <w:t>包号</w:t>
            </w:r>
          </w:p>
        </w:tc>
        <w:tc>
          <w:tcPr>
            <w:tcW w:w="1522" w:type="dxa"/>
            <w:shd w:val="clear" w:color="auto" w:fill="auto"/>
            <w:vAlign w:val="center"/>
          </w:tcPr>
          <w:p>
            <w:pPr>
              <w:pStyle w:val="5"/>
              <w:widowControl/>
              <w:jc w:val="center"/>
              <w:rPr>
                <w:rFonts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rPr>
              <w:t>包名称</w:t>
            </w:r>
          </w:p>
        </w:tc>
        <w:tc>
          <w:tcPr>
            <w:tcW w:w="3138" w:type="dxa"/>
            <w:shd w:val="clear" w:color="auto" w:fill="auto"/>
            <w:vAlign w:val="center"/>
          </w:tcPr>
          <w:p>
            <w:pPr>
              <w:pStyle w:val="5"/>
              <w:widowControl/>
              <w:jc w:val="center"/>
              <w:rPr>
                <w:rFonts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rPr>
              <w:t>服务内容</w:t>
            </w:r>
          </w:p>
        </w:tc>
        <w:tc>
          <w:tcPr>
            <w:tcW w:w="974" w:type="dxa"/>
            <w:shd w:val="clear" w:color="auto" w:fill="auto"/>
            <w:vAlign w:val="center"/>
          </w:tcPr>
          <w:p>
            <w:pPr>
              <w:pStyle w:val="5"/>
              <w:widowControl/>
              <w:jc w:val="center"/>
              <w:rPr>
                <w:rFonts w:hint="eastAsia" w:ascii="仿宋" w:hAnsi="仿宋" w:eastAsia="仿宋" w:cs="Arial"/>
                <w:b/>
                <w:bCs/>
                <w:color w:val="auto"/>
                <w:sz w:val="22"/>
                <w:szCs w:val="22"/>
                <w:highlight w:val="none"/>
                <w:lang w:val="en-US" w:eastAsia="zh-CN"/>
              </w:rPr>
            </w:pPr>
            <w:r>
              <w:rPr>
                <w:rFonts w:hint="eastAsia" w:ascii="仿宋" w:hAnsi="仿宋" w:eastAsia="仿宋" w:cs="Arial"/>
                <w:b/>
                <w:bCs/>
                <w:color w:val="auto"/>
                <w:sz w:val="22"/>
                <w:szCs w:val="22"/>
                <w:highlight w:val="none"/>
                <w:lang w:val="en-US" w:eastAsia="zh-CN"/>
              </w:rPr>
              <w:t>数量</w:t>
            </w:r>
          </w:p>
        </w:tc>
        <w:tc>
          <w:tcPr>
            <w:tcW w:w="893" w:type="dxa"/>
            <w:shd w:val="clear" w:color="auto" w:fill="auto"/>
            <w:vAlign w:val="center"/>
          </w:tcPr>
          <w:p>
            <w:pPr>
              <w:pStyle w:val="5"/>
              <w:widowControl/>
              <w:jc w:val="center"/>
              <w:rPr>
                <w:rFonts w:hint="eastAsia" w:ascii="仿宋" w:hAnsi="仿宋" w:eastAsia="仿宋" w:cs="Arial"/>
                <w:b/>
                <w:bCs/>
                <w:color w:val="auto"/>
                <w:sz w:val="22"/>
                <w:szCs w:val="22"/>
                <w:highlight w:val="none"/>
                <w:lang w:val="en-US" w:eastAsia="zh-CN"/>
              </w:rPr>
            </w:pPr>
            <w:r>
              <w:rPr>
                <w:rFonts w:hint="eastAsia" w:ascii="仿宋" w:hAnsi="仿宋" w:eastAsia="仿宋" w:cs="Arial"/>
                <w:b/>
                <w:bCs/>
                <w:color w:val="auto"/>
                <w:sz w:val="22"/>
                <w:szCs w:val="22"/>
                <w:highlight w:val="none"/>
                <w:lang w:val="en-US" w:eastAsia="zh-CN"/>
              </w:rPr>
              <w:t>单位</w:t>
            </w:r>
          </w:p>
        </w:tc>
        <w:tc>
          <w:tcPr>
            <w:tcW w:w="813" w:type="dxa"/>
            <w:shd w:val="clear" w:color="auto" w:fill="auto"/>
            <w:vAlign w:val="center"/>
          </w:tcPr>
          <w:p>
            <w:pPr>
              <w:pStyle w:val="5"/>
              <w:widowControl/>
              <w:jc w:val="center"/>
              <w:rPr>
                <w:rFonts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rPr>
              <w:t>服务期</w:t>
            </w:r>
          </w:p>
        </w:tc>
        <w:tc>
          <w:tcPr>
            <w:tcW w:w="974" w:type="dxa"/>
            <w:vAlign w:val="center"/>
          </w:tcPr>
          <w:p>
            <w:pPr>
              <w:pStyle w:val="5"/>
              <w:widowControl/>
              <w:jc w:val="center"/>
              <w:rPr>
                <w:rFonts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rPr>
              <w:t>质保期</w:t>
            </w:r>
          </w:p>
        </w:tc>
        <w:tc>
          <w:tcPr>
            <w:tcW w:w="3053" w:type="dxa"/>
            <w:vAlign w:val="center"/>
          </w:tcPr>
          <w:p>
            <w:pPr>
              <w:pStyle w:val="5"/>
              <w:widowControl/>
              <w:jc w:val="center"/>
              <w:rPr>
                <w:rFonts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rPr>
              <w:t>专用资质要求</w:t>
            </w:r>
          </w:p>
        </w:tc>
        <w:tc>
          <w:tcPr>
            <w:tcW w:w="1316" w:type="dxa"/>
            <w:vAlign w:val="center"/>
          </w:tcPr>
          <w:p>
            <w:pPr>
              <w:pStyle w:val="5"/>
              <w:widowControl/>
              <w:jc w:val="center"/>
              <w:rPr>
                <w:rFonts w:hint="eastAsia"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893" w:type="dxa"/>
            <w:vAlign w:val="center"/>
          </w:tcPr>
          <w:p>
            <w:pPr>
              <w:pStyle w:val="5"/>
              <w:widowControl/>
              <w:jc w:val="center"/>
              <w:rPr>
                <w:rFonts w:ascii="仿宋" w:hAnsi="仿宋" w:eastAsia="仿宋" w:cs="Arial"/>
                <w:color w:val="auto"/>
                <w:sz w:val="22"/>
                <w:szCs w:val="22"/>
                <w:highlight w:val="none"/>
              </w:rPr>
            </w:pPr>
            <w:r>
              <w:rPr>
                <w:rFonts w:hint="eastAsia" w:ascii="仿宋" w:hAnsi="仿宋" w:eastAsia="仿宋" w:cs="Arial"/>
                <w:color w:val="auto"/>
                <w:sz w:val="22"/>
                <w:szCs w:val="22"/>
                <w:highlight w:val="none"/>
              </w:rPr>
              <w:t>包1</w:t>
            </w:r>
          </w:p>
        </w:tc>
        <w:tc>
          <w:tcPr>
            <w:tcW w:w="1522" w:type="dxa"/>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仿宋" w:hAnsi="仿宋" w:eastAsia="仿宋" w:cs="Arial"/>
                <w:color w:val="auto"/>
                <w:sz w:val="22"/>
                <w:szCs w:val="22"/>
                <w:highlight w:val="none"/>
              </w:rPr>
            </w:pPr>
            <w:r>
              <w:rPr>
                <w:rFonts w:hint="eastAsia" w:ascii="仿宋" w:hAnsi="仿宋" w:eastAsia="仿宋" w:cs="仿宋"/>
                <w:color w:val="auto"/>
                <w:kern w:val="0"/>
                <w:sz w:val="22"/>
                <w:szCs w:val="22"/>
                <w:highlight w:val="none"/>
              </w:rPr>
              <w:t>变电站在线智能巡视系统安装服务项目（包一）</w:t>
            </w:r>
          </w:p>
        </w:tc>
        <w:tc>
          <w:tcPr>
            <w:tcW w:w="3138" w:type="dxa"/>
            <w:shd w:val="clear" w:color="auto" w:fill="auto"/>
            <w:vAlign w:val="center"/>
          </w:tcPr>
          <w:p>
            <w:pPr>
              <w:keepNext w:val="0"/>
              <w:keepLines w:val="0"/>
              <w:pageBreakBefore w:val="0"/>
              <w:widowControl/>
              <w:kinsoku/>
              <w:wordWrap/>
              <w:overflowPunct/>
              <w:topLinePunct w:val="0"/>
              <w:autoSpaceDE/>
              <w:autoSpaceDN/>
              <w:bidi w:val="0"/>
              <w:jc w:val="left"/>
              <w:textAlignment w:val="auto"/>
              <w:rPr>
                <w:rFonts w:ascii="仿宋" w:hAnsi="仿宋" w:eastAsia="仿宋" w:cs="Arial"/>
                <w:color w:val="auto"/>
                <w:sz w:val="22"/>
                <w:szCs w:val="22"/>
                <w:highlight w:val="none"/>
              </w:rPr>
            </w:pPr>
            <w:r>
              <w:rPr>
                <w:rFonts w:hint="eastAsia" w:ascii="仿宋" w:hAnsi="仿宋" w:eastAsia="仿宋" w:cs="仿宋"/>
                <w:color w:val="auto"/>
                <w:kern w:val="0"/>
                <w:sz w:val="22"/>
                <w:szCs w:val="22"/>
                <w:highlight w:val="none"/>
              </w:rPr>
              <w:t>变电站在线智能巡视安装服务项目内容包括：高清网络摄像机安装；监控立杆安装；辅助控制箱安装；电源电缆及网线敷设；光纤敷设；各类管材线槽安装；墙面开槽及恢复；电缆沟开挖及回填；后台系统设备安装；屏柜安装；系统接地；防火封堵；所涉及的的建筑和绿化设施拆除和恢复；招标方要求的各类设计外少量的零星施工和用工工作；其它投运站点的少量维护工作。</w:t>
            </w:r>
          </w:p>
        </w:tc>
        <w:tc>
          <w:tcPr>
            <w:tcW w:w="974" w:type="dxa"/>
            <w:shd w:val="clear" w:color="000000" w:fill="FFFFFF"/>
            <w:vAlign w:val="center"/>
          </w:tcPr>
          <w:p>
            <w:pPr>
              <w:keepNext w:val="0"/>
              <w:keepLines w:val="0"/>
              <w:pageBreakBefore w:val="0"/>
              <w:widowControl/>
              <w:kinsoku/>
              <w:wordWrap/>
              <w:overflowPunct/>
              <w:topLinePunct w:val="0"/>
              <w:autoSpaceDE/>
              <w:autoSpaceDN/>
              <w:bidi w:val="0"/>
              <w:jc w:val="center"/>
              <w:textAlignment w:val="auto"/>
              <w:rPr>
                <w:rFonts w:ascii="仿宋" w:hAnsi="仿宋" w:eastAsia="仿宋" w:cs="Arial"/>
                <w:color w:val="auto"/>
                <w:sz w:val="22"/>
                <w:szCs w:val="22"/>
                <w:highlight w:val="none"/>
              </w:rPr>
            </w:pPr>
            <w:r>
              <w:rPr>
                <w:rFonts w:hint="eastAsia" w:ascii="仿宋" w:hAnsi="仿宋" w:eastAsia="仿宋" w:cs="仿宋"/>
                <w:color w:val="auto"/>
                <w:kern w:val="0"/>
                <w:sz w:val="22"/>
                <w:szCs w:val="22"/>
                <w:highlight w:val="none"/>
              </w:rPr>
              <w:t>75</w:t>
            </w:r>
          </w:p>
        </w:tc>
        <w:tc>
          <w:tcPr>
            <w:tcW w:w="893" w:type="dxa"/>
            <w:shd w:val="clear" w:color="000000" w:fill="FFFFFF"/>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仿宋" w:hAnsi="仿宋" w:eastAsia="仿宋" w:cs="Arial"/>
                <w:color w:val="auto"/>
                <w:sz w:val="22"/>
                <w:szCs w:val="22"/>
                <w:highlight w:val="none"/>
              </w:rPr>
            </w:pPr>
            <w:r>
              <w:rPr>
                <w:rFonts w:hint="eastAsia" w:ascii="仿宋" w:hAnsi="仿宋" w:eastAsia="仿宋" w:cs="仿宋"/>
                <w:color w:val="auto"/>
                <w:kern w:val="0"/>
                <w:sz w:val="22"/>
                <w:szCs w:val="22"/>
                <w:highlight w:val="none"/>
              </w:rPr>
              <w:t>站</w:t>
            </w:r>
          </w:p>
        </w:tc>
        <w:tc>
          <w:tcPr>
            <w:tcW w:w="81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仿宋" w:hAnsi="仿宋" w:eastAsia="仿宋" w:cs="Arial"/>
                <w:color w:val="auto"/>
                <w:sz w:val="22"/>
                <w:szCs w:val="22"/>
                <w:highlight w:val="none"/>
              </w:rPr>
            </w:pPr>
            <w:r>
              <w:rPr>
                <w:rFonts w:hint="eastAsia" w:ascii="仿宋" w:hAnsi="仿宋" w:eastAsia="仿宋" w:cs="仿宋"/>
                <w:color w:val="auto"/>
                <w:kern w:val="0"/>
                <w:sz w:val="22"/>
                <w:szCs w:val="22"/>
                <w:highlight w:val="none"/>
              </w:rPr>
              <w:t>1年</w:t>
            </w:r>
          </w:p>
        </w:tc>
        <w:tc>
          <w:tcPr>
            <w:tcW w:w="974" w:type="dxa"/>
            <w:vAlign w:val="center"/>
          </w:tcPr>
          <w:p>
            <w:pPr>
              <w:keepNext w:val="0"/>
              <w:keepLines w:val="0"/>
              <w:pageBreakBefore w:val="0"/>
              <w:widowControl/>
              <w:kinsoku/>
              <w:wordWrap/>
              <w:overflowPunct/>
              <w:topLinePunct w:val="0"/>
              <w:autoSpaceDE/>
              <w:autoSpaceDN/>
              <w:bidi w:val="0"/>
              <w:jc w:val="center"/>
              <w:textAlignment w:val="auto"/>
              <w:rPr>
                <w:rFonts w:ascii="仿宋" w:hAnsi="仿宋" w:eastAsia="仿宋" w:cs="Arial"/>
                <w:color w:val="auto"/>
                <w:sz w:val="22"/>
                <w:szCs w:val="22"/>
                <w:highlight w:val="none"/>
              </w:rPr>
            </w:pPr>
            <w:r>
              <w:rPr>
                <w:rFonts w:hint="eastAsia" w:ascii="仿宋" w:hAnsi="仿宋" w:eastAsia="仿宋" w:cs="仿宋"/>
                <w:color w:val="auto"/>
                <w:kern w:val="0"/>
                <w:sz w:val="22"/>
                <w:szCs w:val="22"/>
                <w:highlight w:val="none"/>
              </w:rPr>
              <w:t>1年</w:t>
            </w:r>
          </w:p>
        </w:tc>
        <w:tc>
          <w:tcPr>
            <w:tcW w:w="3053" w:type="dxa"/>
            <w:vAlign w:val="center"/>
          </w:tcPr>
          <w:p>
            <w:pPr>
              <w:pStyle w:val="5"/>
              <w:widowControl/>
              <w:numPr>
                <w:ilvl w:val="0"/>
                <w:numId w:val="1"/>
              </w:numPr>
              <w:jc w:val="left"/>
              <w:rPr>
                <w:rFonts w:hint="eastAsia" w:ascii="仿宋" w:hAnsi="仿宋" w:eastAsia="仿宋" w:cs="仿宋"/>
                <w:color w:val="auto"/>
                <w:kern w:val="0"/>
                <w:sz w:val="22"/>
                <w:szCs w:val="22"/>
                <w:highlight w:val="none"/>
                <w:lang w:eastAsia="zh-CN"/>
              </w:rPr>
            </w:pP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color w:val="auto"/>
                <w:kern w:val="0"/>
                <w:sz w:val="22"/>
                <w:szCs w:val="22"/>
                <w:highlight w:val="none"/>
              </w:rPr>
              <w:t>应答人应具有独立订立合同的法人资格</w:t>
            </w:r>
            <w:r>
              <w:rPr>
                <w:rFonts w:hint="eastAsia" w:ascii="仿宋" w:hAnsi="仿宋" w:eastAsia="仿宋" w:cs="仿宋"/>
                <w:color w:val="auto"/>
                <w:kern w:val="0"/>
                <w:sz w:val="22"/>
                <w:szCs w:val="22"/>
                <w:highlight w:val="none"/>
                <w:lang w:eastAsia="zh-CN"/>
              </w:rPr>
              <w:t>；</w:t>
            </w:r>
          </w:p>
          <w:p>
            <w:pPr>
              <w:pStyle w:val="5"/>
              <w:widowControl/>
              <w:numPr>
                <w:ilvl w:val="0"/>
                <w:numId w:val="1"/>
              </w:numPr>
              <w:jc w:val="left"/>
              <w:rPr>
                <w:rFonts w:hint="eastAsia" w:ascii="仿宋" w:hAnsi="仿宋" w:eastAsia="仿宋" w:cs="宋体"/>
                <w:color w:val="auto"/>
                <w:sz w:val="22"/>
                <w:szCs w:val="22"/>
                <w:highlight w:val="none"/>
                <w:lang w:eastAsia="zh-CN"/>
              </w:rPr>
            </w:pPr>
            <w:r>
              <w:rPr>
                <w:rFonts w:hint="eastAsia" w:ascii="仿宋" w:hAnsi="仿宋" w:eastAsia="仿宋" w:cs="仿宋"/>
                <w:b w:val="0"/>
                <w:bCs w:val="0"/>
                <w:color w:val="auto"/>
                <w:kern w:val="0"/>
                <w:sz w:val="22"/>
                <w:szCs w:val="22"/>
                <w:highlight w:val="none"/>
              </w:rPr>
              <w:t>有效的安全生产许可证</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color w:val="auto"/>
                <w:kern w:val="0"/>
                <w:sz w:val="22"/>
                <w:szCs w:val="22"/>
                <w:highlight w:val="none"/>
              </w:rPr>
              <w:t>有效期内的安全生产许可证件</w:t>
            </w:r>
            <w:r>
              <w:rPr>
                <w:rFonts w:hint="eastAsia" w:ascii="仿宋" w:hAnsi="仿宋" w:eastAsia="仿宋" w:cs="仿宋"/>
                <w:color w:val="auto"/>
                <w:kern w:val="0"/>
                <w:sz w:val="22"/>
                <w:szCs w:val="22"/>
                <w:highlight w:val="none"/>
                <w:lang w:eastAsia="zh-CN"/>
              </w:rPr>
              <w:t>；</w:t>
            </w:r>
          </w:p>
          <w:p>
            <w:pPr>
              <w:pStyle w:val="5"/>
              <w:widowControl/>
              <w:numPr>
                <w:ilvl w:val="0"/>
                <w:numId w:val="1"/>
              </w:numPr>
              <w:jc w:val="left"/>
              <w:rPr>
                <w:rFonts w:hint="eastAsia" w:ascii="仿宋" w:hAnsi="仿宋" w:eastAsia="仿宋" w:cs="宋体"/>
                <w:color w:val="auto"/>
                <w:sz w:val="22"/>
                <w:szCs w:val="22"/>
                <w:highlight w:val="none"/>
                <w:lang w:eastAsia="zh-CN"/>
              </w:rPr>
            </w:pPr>
            <w:r>
              <w:rPr>
                <w:rFonts w:hint="eastAsia" w:ascii="仿宋" w:hAnsi="仿宋" w:eastAsia="仿宋" w:cs="仿宋"/>
                <w:b w:val="0"/>
                <w:bCs w:val="0"/>
                <w:color w:val="auto"/>
                <w:kern w:val="0"/>
                <w:sz w:val="22"/>
                <w:szCs w:val="22"/>
                <w:highlight w:val="none"/>
              </w:rPr>
              <w:t>有效的资质等级证书</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color w:val="auto"/>
                <w:kern w:val="0"/>
                <w:sz w:val="22"/>
                <w:szCs w:val="22"/>
                <w:highlight w:val="none"/>
              </w:rPr>
              <w:t>建筑机电安装工程专业承包叁级或机电工程施工总承包叁级或电子与智能化工程专业承包叁级或输变电站工程专业承包叁级及以上资质</w:t>
            </w:r>
            <w:r>
              <w:rPr>
                <w:rFonts w:hint="eastAsia" w:ascii="仿宋" w:hAnsi="仿宋" w:eastAsia="仿宋" w:cs="仿宋"/>
                <w:color w:val="auto"/>
                <w:kern w:val="0"/>
                <w:sz w:val="22"/>
                <w:szCs w:val="22"/>
                <w:highlight w:val="none"/>
                <w:lang w:eastAsia="zh-CN"/>
              </w:rPr>
              <w:t>；</w:t>
            </w:r>
          </w:p>
          <w:p>
            <w:pPr>
              <w:pStyle w:val="5"/>
              <w:widowControl/>
              <w:numPr>
                <w:ilvl w:val="0"/>
                <w:numId w:val="1"/>
              </w:numPr>
              <w:jc w:val="left"/>
              <w:rPr>
                <w:rFonts w:hint="eastAsia" w:ascii="仿宋" w:hAnsi="仿宋" w:eastAsia="仿宋" w:cs="宋体"/>
                <w:color w:val="auto"/>
                <w:sz w:val="22"/>
                <w:szCs w:val="22"/>
                <w:highlight w:val="none"/>
                <w:lang w:eastAsia="zh-CN"/>
              </w:rPr>
            </w:pPr>
            <w:r>
              <w:rPr>
                <w:rFonts w:hint="eastAsia" w:ascii="仿宋" w:hAnsi="仿宋" w:eastAsia="仿宋" w:cs="仿宋"/>
                <w:b w:val="0"/>
                <w:bCs w:val="0"/>
                <w:color w:val="auto"/>
                <w:kern w:val="0"/>
                <w:sz w:val="22"/>
                <w:szCs w:val="22"/>
                <w:highlight w:val="none"/>
              </w:rPr>
              <w:t>备注</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color w:val="auto"/>
                <w:kern w:val="0"/>
                <w:sz w:val="22"/>
                <w:szCs w:val="22"/>
                <w:highlight w:val="none"/>
              </w:rPr>
              <w:t>不接受代理商及联合体投标</w:t>
            </w:r>
            <w:r>
              <w:rPr>
                <w:rFonts w:hint="eastAsia" w:ascii="仿宋" w:hAnsi="仿宋" w:eastAsia="仿宋" w:cs="仿宋"/>
                <w:color w:val="auto"/>
                <w:kern w:val="0"/>
                <w:sz w:val="22"/>
                <w:szCs w:val="22"/>
                <w:highlight w:val="none"/>
                <w:lang w:eastAsia="zh-CN"/>
              </w:rPr>
              <w:t>。</w:t>
            </w:r>
          </w:p>
        </w:tc>
        <w:tc>
          <w:tcPr>
            <w:tcW w:w="1316" w:type="dxa"/>
            <w:vAlign w:val="center"/>
          </w:tcPr>
          <w:p>
            <w:pPr>
              <w:pStyle w:val="5"/>
              <w:widowControl/>
              <w:jc w:val="center"/>
              <w:rPr>
                <w:rFonts w:hint="default" w:ascii="仿宋" w:hAnsi="仿宋" w:eastAsia="仿宋" w:cs="宋体"/>
                <w:color w:val="auto"/>
                <w:sz w:val="22"/>
                <w:szCs w:val="22"/>
                <w:highlight w:val="none"/>
                <w:lang w:val="en-US" w:eastAsia="zh-CN"/>
              </w:rPr>
            </w:pPr>
            <w:r>
              <w:rPr>
                <w:rFonts w:hint="eastAsia" w:ascii="仿宋" w:hAnsi="仿宋" w:eastAsia="仿宋" w:cs="宋体"/>
                <w:color w:val="auto"/>
                <w:sz w:val="22"/>
                <w:szCs w:val="22"/>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893" w:type="dxa"/>
            <w:vAlign w:val="center"/>
          </w:tcPr>
          <w:p>
            <w:pPr>
              <w:pStyle w:val="5"/>
              <w:widowControl/>
              <w:jc w:val="center"/>
              <w:rPr>
                <w:rFonts w:hint="eastAsia" w:ascii="仿宋" w:hAnsi="仿宋" w:eastAsia="仿宋" w:cs="Arial"/>
                <w:color w:val="auto"/>
                <w:sz w:val="22"/>
                <w:szCs w:val="22"/>
                <w:highlight w:val="none"/>
                <w:lang w:eastAsia="zh-CN"/>
              </w:rPr>
            </w:pPr>
            <w:r>
              <w:rPr>
                <w:rFonts w:hint="eastAsia" w:ascii="仿宋" w:hAnsi="仿宋" w:eastAsia="仿宋" w:cs="Arial"/>
                <w:color w:val="auto"/>
                <w:sz w:val="22"/>
                <w:szCs w:val="22"/>
                <w:highlight w:val="none"/>
              </w:rPr>
              <w:t>包</w:t>
            </w:r>
            <w:r>
              <w:rPr>
                <w:rFonts w:hint="eastAsia" w:ascii="仿宋" w:hAnsi="仿宋" w:eastAsia="仿宋" w:cs="Arial"/>
                <w:color w:val="auto"/>
                <w:sz w:val="22"/>
                <w:szCs w:val="22"/>
                <w:highlight w:val="none"/>
                <w:lang w:val="en-US" w:eastAsia="zh-CN"/>
              </w:rPr>
              <w:t>2</w:t>
            </w:r>
          </w:p>
        </w:tc>
        <w:tc>
          <w:tcPr>
            <w:tcW w:w="1522" w:type="dxa"/>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仿宋" w:hAnsi="仿宋" w:eastAsia="仿宋" w:cs="Arial"/>
                <w:color w:val="auto"/>
                <w:sz w:val="22"/>
                <w:szCs w:val="22"/>
                <w:highlight w:val="none"/>
              </w:rPr>
            </w:pPr>
            <w:r>
              <w:rPr>
                <w:rFonts w:hint="eastAsia" w:ascii="仿宋" w:hAnsi="仿宋" w:eastAsia="仿宋" w:cs="仿宋"/>
                <w:color w:val="auto"/>
                <w:kern w:val="0"/>
                <w:sz w:val="22"/>
                <w:szCs w:val="22"/>
                <w:highlight w:val="none"/>
              </w:rPr>
              <w:t>变电站在线智能巡视系统安装服务项目（包二）</w:t>
            </w:r>
          </w:p>
        </w:tc>
        <w:tc>
          <w:tcPr>
            <w:tcW w:w="3138" w:type="dxa"/>
            <w:shd w:val="clear" w:color="auto" w:fill="auto"/>
            <w:vAlign w:val="center"/>
          </w:tcPr>
          <w:p>
            <w:pPr>
              <w:keepNext w:val="0"/>
              <w:keepLines w:val="0"/>
              <w:pageBreakBefore w:val="0"/>
              <w:widowControl/>
              <w:kinsoku/>
              <w:wordWrap/>
              <w:overflowPunct/>
              <w:topLinePunct w:val="0"/>
              <w:autoSpaceDE/>
              <w:autoSpaceDN/>
              <w:bidi w:val="0"/>
              <w:jc w:val="left"/>
              <w:textAlignment w:val="auto"/>
              <w:rPr>
                <w:rFonts w:ascii="仿宋" w:hAnsi="仿宋" w:eastAsia="仿宋" w:cs="Arial"/>
                <w:color w:val="auto"/>
                <w:sz w:val="22"/>
                <w:szCs w:val="22"/>
                <w:highlight w:val="none"/>
              </w:rPr>
            </w:pPr>
            <w:r>
              <w:rPr>
                <w:rFonts w:hint="eastAsia" w:ascii="仿宋" w:hAnsi="仿宋" w:eastAsia="仿宋" w:cs="仿宋"/>
                <w:color w:val="auto"/>
                <w:kern w:val="0"/>
                <w:sz w:val="22"/>
                <w:szCs w:val="22"/>
                <w:highlight w:val="none"/>
              </w:rPr>
              <w:t>变电站在线智能巡视安装服务项目内容包括：高清网络摄像机安装；监控立杆安装；辅助控制箱安装；电源电缆及网线敷设；光纤敷设；各类管材线槽安装；墙面开槽及恢复；电缆沟开挖及回填；后台系统设备安装；屏柜安装；系统接地；防火封堵；所涉及的的建筑和绿化设施拆除和恢复；招标方要求的各类设计外少量的零星施工和用工工作；其它投运站点的少量维护工作。</w:t>
            </w:r>
          </w:p>
        </w:tc>
        <w:tc>
          <w:tcPr>
            <w:tcW w:w="974" w:type="dxa"/>
            <w:shd w:val="clear" w:color="000000" w:fill="FFFFFF"/>
            <w:vAlign w:val="center"/>
          </w:tcPr>
          <w:p>
            <w:pPr>
              <w:keepNext w:val="0"/>
              <w:keepLines w:val="0"/>
              <w:pageBreakBefore w:val="0"/>
              <w:widowControl/>
              <w:kinsoku/>
              <w:wordWrap/>
              <w:overflowPunct/>
              <w:topLinePunct w:val="0"/>
              <w:autoSpaceDE/>
              <w:autoSpaceDN/>
              <w:bidi w:val="0"/>
              <w:jc w:val="center"/>
              <w:textAlignment w:val="auto"/>
              <w:rPr>
                <w:rFonts w:ascii="仿宋" w:hAnsi="仿宋" w:eastAsia="仿宋" w:cs="Arial"/>
                <w:color w:val="auto"/>
                <w:sz w:val="22"/>
                <w:szCs w:val="22"/>
                <w:highlight w:val="none"/>
              </w:rPr>
            </w:pPr>
            <w:r>
              <w:rPr>
                <w:rFonts w:hint="eastAsia" w:ascii="仿宋" w:hAnsi="仿宋" w:eastAsia="仿宋" w:cs="仿宋"/>
                <w:color w:val="auto"/>
                <w:kern w:val="0"/>
                <w:sz w:val="22"/>
                <w:szCs w:val="22"/>
                <w:highlight w:val="none"/>
              </w:rPr>
              <w:t>63</w:t>
            </w:r>
          </w:p>
        </w:tc>
        <w:tc>
          <w:tcPr>
            <w:tcW w:w="893" w:type="dxa"/>
            <w:shd w:val="clear" w:color="000000" w:fill="FFFFFF"/>
            <w:vAlign w:val="center"/>
          </w:tcPr>
          <w:p>
            <w:pPr>
              <w:keepNext w:val="0"/>
              <w:keepLines w:val="0"/>
              <w:pageBreakBefore w:val="0"/>
              <w:widowControl/>
              <w:kinsoku/>
              <w:wordWrap/>
              <w:overflowPunct/>
              <w:topLinePunct w:val="0"/>
              <w:autoSpaceDE/>
              <w:autoSpaceDN/>
              <w:bidi w:val="0"/>
              <w:jc w:val="center"/>
              <w:textAlignment w:val="auto"/>
              <w:rPr>
                <w:rFonts w:ascii="仿宋" w:hAnsi="仿宋" w:eastAsia="仿宋" w:cs="Arial"/>
                <w:color w:val="auto"/>
                <w:sz w:val="22"/>
                <w:szCs w:val="22"/>
                <w:highlight w:val="none"/>
              </w:rPr>
            </w:pPr>
            <w:r>
              <w:rPr>
                <w:rFonts w:hint="eastAsia" w:ascii="仿宋" w:hAnsi="仿宋" w:eastAsia="仿宋" w:cs="仿宋"/>
                <w:color w:val="auto"/>
                <w:kern w:val="0"/>
                <w:sz w:val="22"/>
                <w:szCs w:val="22"/>
                <w:highlight w:val="none"/>
              </w:rPr>
              <w:t>站</w:t>
            </w:r>
          </w:p>
        </w:tc>
        <w:tc>
          <w:tcPr>
            <w:tcW w:w="813" w:type="dxa"/>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仿宋" w:hAnsi="仿宋" w:eastAsia="仿宋" w:cs="Arial"/>
                <w:color w:val="auto"/>
                <w:sz w:val="22"/>
                <w:szCs w:val="22"/>
                <w:highlight w:val="none"/>
              </w:rPr>
            </w:pPr>
            <w:r>
              <w:rPr>
                <w:rFonts w:hint="eastAsia" w:ascii="仿宋" w:hAnsi="仿宋" w:eastAsia="仿宋" w:cs="仿宋"/>
                <w:color w:val="auto"/>
                <w:kern w:val="0"/>
                <w:sz w:val="22"/>
                <w:szCs w:val="22"/>
                <w:highlight w:val="none"/>
              </w:rPr>
              <w:t>1年</w:t>
            </w:r>
          </w:p>
        </w:tc>
        <w:tc>
          <w:tcPr>
            <w:tcW w:w="974" w:type="dxa"/>
            <w:vAlign w:val="center"/>
          </w:tcPr>
          <w:p>
            <w:pPr>
              <w:keepNext w:val="0"/>
              <w:keepLines w:val="0"/>
              <w:pageBreakBefore w:val="0"/>
              <w:widowControl/>
              <w:kinsoku/>
              <w:wordWrap/>
              <w:overflowPunct/>
              <w:topLinePunct w:val="0"/>
              <w:autoSpaceDE/>
              <w:autoSpaceDN/>
              <w:bidi w:val="0"/>
              <w:jc w:val="center"/>
              <w:textAlignment w:val="auto"/>
              <w:rPr>
                <w:rFonts w:ascii="仿宋" w:hAnsi="仿宋" w:eastAsia="仿宋" w:cs="Arial"/>
                <w:color w:val="auto"/>
                <w:sz w:val="22"/>
                <w:szCs w:val="22"/>
                <w:highlight w:val="none"/>
              </w:rPr>
            </w:pPr>
            <w:r>
              <w:rPr>
                <w:rFonts w:hint="eastAsia" w:ascii="仿宋" w:hAnsi="仿宋" w:eastAsia="仿宋" w:cs="仿宋"/>
                <w:color w:val="auto"/>
                <w:kern w:val="0"/>
                <w:sz w:val="22"/>
                <w:szCs w:val="22"/>
                <w:highlight w:val="none"/>
              </w:rPr>
              <w:t>1年</w:t>
            </w:r>
          </w:p>
        </w:tc>
        <w:tc>
          <w:tcPr>
            <w:tcW w:w="3053" w:type="dxa"/>
            <w:vAlign w:val="center"/>
          </w:tcPr>
          <w:p>
            <w:pPr>
              <w:pStyle w:val="5"/>
              <w:widowControl/>
              <w:numPr>
                <w:ilvl w:val="0"/>
                <w:numId w:val="2"/>
              </w:numPr>
              <w:jc w:val="left"/>
              <w:rPr>
                <w:rFonts w:hint="eastAsia" w:ascii="仿宋" w:hAnsi="仿宋" w:eastAsia="仿宋" w:cs="仿宋"/>
                <w:color w:val="auto"/>
                <w:kern w:val="0"/>
                <w:sz w:val="22"/>
                <w:szCs w:val="22"/>
                <w:highlight w:val="none"/>
                <w:lang w:eastAsia="zh-CN"/>
              </w:rPr>
            </w:pP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color w:val="auto"/>
                <w:kern w:val="0"/>
                <w:sz w:val="22"/>
                <w:szCs w:val="22"/>
                <w:highlight w:val="none"/>
              </w:rPr>
              <w:t>应答人应具有独立订立合同的法人资格</w:t>
            </w:r>
            <w:r>
              <w:rPr>
                <w:rFonts w:hint="eastAsia" w:ascii="仿宋" w:hAnsi="仿宋" w:eastAsia="仿宋" w:cs="仿宋"/>
                <w:color w:val="auto"/>
                <w:kern w:val="0"/>
                <w:sz w:val="22"/>
                <w:szCs w:val="22"/>
                <w:highlight w:val="none"/>
                <w:lang w:eastAsia="zh-CN"/>
              </w:rPr>
              <w:t>；</w:t>
            </w:r>
          </w:p>
          <w:p>
            <w:pPr>
              <w:pStyle w:val="5"/>
              <w:widowControl/>
              <w:numPr>
                <w:ilvl w:val="0"/>
                <w:numId w:val="2"/>
              </w:numPr>
              <w:jc w:val="left"/>
              <w:rPr>
                <w:rFonts w:hint="eastAsia" w:ascii="仿宋" w:hAnsi="仿宋" w:eastAsia="仿宋" w:cs="宋体"/>
                <w:color w:val="auto"/>
                <w:sz w:val="22"/>
                <w:szCs w:val="22"/>
                <w:highlight w:val="none"/>
                <w:lang w:eastAsia="zh-CN"/>
              </w:rPr>
            </w:pPr>
            <w:r>
              <w:rPr>
                <w:rFonts w:hint="eastAsia" w:ascii="仿宋" w:hAnsi="仿宋" w:eastAsia="仿宋" w:cs="仿宋"/>
                <w:b w:val="0"/>
                <w:bCs w:val="0"/>
                <w:color w:val="auto"/>
                <w:kern w:val="0"/>
                <w:sz w:val="22"/>
                <w:szCs w:val="22"/>
                <w:highlight w:val="none"/>
              </w:rPr>
              <w:t>有效的安全生产许可证</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color w:val="auto"/>
                <w:kern w:val="0"/>
                <w:sz w:val="22"/>
                <w:szCs w:val="22"/>
                <w:highlight w:val="none"/>
              </w:rPr>
              <w:t>有效期内的安全生产许可证件</w:t>
            </w:r>
            <w:r>
              <w:rPr>
                <w:rFonts w:hint="eastAsia" w:ascii="仿宋" w:hAnsi="仿宋" w:eastAsia="仿宋" w:cs="仿宋"/>
                <w:color w:val="auto"/>
                <w:kern w:val="0"/>
                <w:sz w:val="22"/>
                <w:szCs w:val="22"/>
                <w:highlight w:val="none"/>
                <w:lang w:eastAsia="zh-CN"/>
              </w:rPr>
              <w:t>；</w:t>
            </w:r>
          </w:p>
          <w:p>
            <w:pPr>
              <w:pStyle w:val="5"/>
              <w:widowControl/>
              <w:numPr>
                <w:ilvl w:val="0"/>
                <w:numId w:val="2"/>
              </w:numPr>
              <w:jc w:val="left"/>
              <w:rPr>
                <w:rFonts w:ascii="仿宋" w:hAnsi="仿宋" w:eastAsia="仿宋" w:cs="宋体"/>
                <w:color w:val="auto"/>
                <w:sz w:val="22"/>
                <w:szCs w:val="22"/>
                <w:highlight w:val="none"/>
              </w:rPr>
            </w:pPr>
            <w:r>
              <w:rPr>
                <w:rFonts w:hint="eastAsia" w:ascii="仿宋" w:hAnsi="仿宋" w:eastAsia="仿宋" w:cs="仿宋"/>
                <w:b w:val="0"/>
                <w:bCs w:val="0"/>
                <w:color w:val="auto"/>
                <w:kern w:val="0"/>
                <w:sz w:val="22"/>
                <w:szCs w:val="22"/>
                <w:highlight w:val="none"/>
              </w:rPr>
              <w:t>有效的资质等级证书</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color w:val="auto"/>
                <w:kern w:val="0"/>
                <w:sz w:val="22"/>
                <w:szCs w:val="22"/>
                <w:highlight w:val="none"/>
              </w:rPr>
              <w:t>建筑机电安装工程专业承包叁级或机电工程施工总承包叁级或电子与智能化工程专业承包叁级或输变电站工程专业承包叁级及以上资质</w:t>
            </w:r>
            <w:r>
              <w:rPr>
                <w:rFonts w:hint="eastAsia" w:ascii="仿宋" w:hAnsi="仿宋" w:eastAsia="仿宋" w:cs="仿宋"/>
                <w:color w:val="auto"/>
                <w:kern w:val="0"/>
                <w:sz w:val="22"/>
                <w:szCs w:val="22"/>
                <w:highlight w:val="none"/>
                <w:lang w:eastAsia="zh-CN"/>
              </w:rPr>
              <w:t>；</w:t>
            </w:r>
          </w:p>
          <w:p>
            <w:pPr>
              <w:pStyle w:val="5"/>
              <w:widowControl/>
              <w:numPr>
                <w:ilvl w:val="0"/>
                <w:numId w:val="2"/>
              </w:numPr>
              <w:jc w:val="left"/>
              <w:rPr>
                <w:rFonts w:ascii="仿宋" w:hAnsi="仿宋" w:eastAsia="仿宋" w:cs="宋体"/>
                <w:color w:val="auto"/>
                <w:sz w:val="22"/>
                <w:szCs w:val="22"/>
                <w:highlight w:val="none"/>
              </w:rPr>
            </w:pPr>
            <w:r>
              <w:rPr>
                <w:rFonts w:hint="eastAsia" w:ascii="仿宋" w:hAnsi="仿宋" w:eastAsia="仿宋" w:cs="仿宋"/>
                <w:b w:val="0"/>
                <w:bCs w:val="0"/>
                <w:color w:val="auto"/>
                <w:kern w:val="0"/>
                <w:sz w:val="22"/>
                <w:szCs w:val="22"/>
                <w:highlight w:val="none"/>
              </w:rPr>
              <w:t>备注</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color w:val="auto"/>
                <w:kern w:val="0"/>
                <w:sz w:val="22"/>
                <w:szCs w:val="22"/>
                <w:highlight w:val="none"/>
              </w:rPr>
              <w:t>不接受代理商及联合体投标</w:t>
            </w:r>
            <w:r>
              <w:rPr>
                <w:rFonts w:hint="eastAsia" w:ascii="仿宋" w:hAnsi="仿宋" w:eastAsia="仿宋" w:cs="仿宋"/>
                <w:color w:val="auto"/>
                <w:kern w:val="0"/>
                <w:sz w:val="22"/>
                <w:szCs w:val="22"/>
                <w:highlight w:val="none"/>
                <w:lang w:eastAsia="zh-CN"/>
              </w:rPr>
              <w:t>。</w:t>
            </w:r>
          </w:p>
        </w:tc>
        <w:tc>
          <w:tcPr>
            <w:tcW w:w="1316" w:type="dxa"/>
            <w:vAlign w:val="center"/>
          </w:tcPr>
          <w:p>
            <w:pPr>
              <w:pStyle w:val="5"/>
              <w:widowControl/>
              <w:jc w:val="center"/>
              <w:rPr>
                <w:rFonts w:hint="default" w:ascii="仿宋" w:hAnsi="仿宋" w:eastAsia="仿宋" w:cs="宋体"/>
                <w:color w:val="auto"/>
                <w:sz w:val="22"/>
                <w:szCs w:val="22"/>
                <w:highlight w:val="none"/>
                <w:lang w:val="en-US" w:eastAsia="zh-CN"/>
              </w:rPr>
            </w:pPr>
            <w:r>
              <w:rPr>
                <w:rFonts w:hint="eastAsia" w:ascii="仿宋" w:hAnsi="仿宋" w:eastAsia="仿宋" w:cs="宋体"/>
                <w:color w:val="auto"/>
                <w:sz w:val="22"/>
                <w:szCs w:val="22"/>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893" w:type="dxa"/>
            <w:vAlign w:val="center"/>
          </w:tcPr>
          <w:p>
            <w:pPr>
              <w:pStyle w:val="5"/>
              <w:widowControl/>
              <w:jc w:val="center"/>
              <w:rPr>
                <w:rFonts w:hint="eastAsia" w:ascii="仿宋" w:hAnsi="仿宋" w:eastAsia="仿宋" w:cs="Arial"/>
                <w:color w:val="auto"/>
                <w:sz w:val="22"/>
                <w:szCs w:val="22"/>
                <w:highlight w:val="none"/>
                <w:lang w:eastAsia="zh-CN"/>
              </w:rPr>
            </w:pPr>
            <w:r>
              <w:rPr>
                <w:rFonts w:hint="eastAsia" w:ascii="仿宋" w:hAnsi="仿宋" w:eastAsia="仿宋" w:cs="Arial"/>
                <w:color w:val="auto"/>
                <w:sz w:val="22"/>
                <w:szCs w:val="22"/>
                <w:highlight w:val="none"/>
              </w:rPr>
              <w:t>包</w:t>
            </w:r>
            <w:r>
              <w:rPr>
                <w:rFonts w:hint="eastAsia" w:ascii="仿宋" w:hAnsi="仿宋" w:eastAsia="仿宋" w:cs="Arial"/>
                <w:color w:val="auto"/>
                <w:sz w:val="22"/>
                <w:szCs w:val="22"/>
                <w:highlight w:val="none"/>
                <w:lang w:val="en-US" w:eastAsia="zh-CN"/>
              </w:rPr>
              <w:t>3</w:t>
            </w:r>
          </w:p>
        </w:tc>
        <w:tc>
          <w:tcPr>
            <w:tcW w:w="1522" w:type="dxa"/>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仿宋" w:hAnsi="仿宋" w:eastAsia="仿宋" w:cs="Arial"/>
                <w:color w:val="auto"/>
                <w:sz w:val="22"/>
                <w:szCs w:val="22"/>
                <w:highlight w:val="none"/>
              </w:rPr>
            </w:pPr>
            <w:r>
              <w:rPr>
                <w:rFonts w:hint="eastAsia" w:ascii="仿宋" w:hAnsi="仿宋" w:eastAsia="仿宋" w:cs="仿宋"/>
                <w:color w:val="auto"/>
                <w:kern w:val="0"/>
                <w:sz w:val="22"/>
                <w:szCs w:val="22"/>
                <w:highlight w:val="none"/>
              </w:rPr>
              <w:t>变电站在线智能巡视系统安装服务项目（包三）</w:t>
            </w:r>
          </w:p>
        </w:tc>
        <w:tc>
          <w:tcPr>
            <w:tcW w:w="3138" w:type="dxa"/>
            <w:shd w:val="clear" w:color="auto" w:fill="auto"/>
            <w:vAlign w:val="center"/>
          </w:tcPr>
          <w:p>
            <w:pPr>
              <w:keepNext w:val="0"/>
              <w:keepLines w:val="0"/>
              <w:pageBreakBefore w:val="0"/>
              <w:widowControl/>
              <w:kinsoku/>
              <w:wordWrap/>
              <w:overflowPunct/>
              <w:topLinePunct w:val="0"/>
              <w:autoSpaceDE/>
              <w:autoSpaceDN/>
              <w:bidi w:val="0"/>
              <w:jc w:val="left"/>
              <w:textAlignment w:val="auto"/>
              <w:rPr>
                <w:rFonts w:ascii="仿宋" w:hAnsi="仿宋" w:eastAsia="仿宋" w:cs="Arial"/>
                <w:color w:val="auto"/>
                <w:sz w:val="22"/>
                <w:szCs w:val="22"/>
                <w:highlight w:val="none"/>
              </w:rPr>
            </w:pPr>
            <w:r>
              <w:rPr>
                <w:rFonts w:hint="eastAsia" w:ascii="仿宋" w:hAnsi="仿宋" w:eastAsia="仿宋" w:cs="仿宋"/>
                <w:color w:val="auto"/>
                <w:kern w:val="0"/>
                <w:sz w:val="22"/>
                <w:szCs w:val="22"/>
                <w:highlight w:val="none"/>
              </w:rPr>
              <w:t>变电站在线智能巡视安装服务项目内容包括：高清网络摄像机安装；监控立杆安装；辅助控制箱安装；电源电缆及网线敷设；光纤敷设；各类管材线槽安装；墙面开槽及恢复；电缆沟开挖及回填；后台系统设备安装；屏柜安装；系统接地；防火封堵；所涉及的的建筑和绿化设施拆除和恢复；招标方要求的各类设计外少量的零星施工和用工工作；其它投运站点的少量维护工作。</w:t>
            </w:r>
          </w:p>
        </w:tc>
        <w:tc>
          <w:tcPr>
            <w:tcW w:w="974" w:type="dxa"/>
            <w:shd w:val="clear" w:color="000000" w:fill="FFFFFF"/>
            <w:vAlign w:val="center"/>
          </w:tcPr>
          <w:p>
            <w:pPr>
              <w:keepNext w:val="0"/>
              <w:keepLines w:val="0"/>
              <w:pageBreakBefore w:val="0"/>
              <w:widowControl/>
              <w:kinsoku/>
              <w:wordWrap/>
              <w:overflowPunct/>
              <w:topLinePunct w:val="0"/>
              <w:autoSpaceDE/>
              <w:autoSpaceDN/>
              <w:bidi w:val="0"/>
              <w:jc w:val="center"/>
              <w:textAlignment w:val="auto"/>
              <w:rPr>
                <w:rFonts w:ascii="仿宋" w:hAnsi="仿宋" w:eastAsia="仿宋" w:cs="Arial"/>
                <w:color w:val="auto"/>
                <w:sz w:val="22"/>
                <w:szCs w:val="22"/>
                <w:highlight w:val="none"/>
              </w:rPr>
            </w:pPr>
            <w:r>
              <w:rPr>
                <w:rFonts w:hint="eastAsia" w:ascii="仿宋" w:hAnsi="仿宋" w:eastAsia="仿宋" w:cs="仿宋"/>
                <w:color w:val="auto"/>
                <w:kern w:val="0"/>
                <w:sz w:val="22"/>
                <w:szCs w:val="22"/>
                <w:highlight w:val="none"/>
              </w:rPr>
              <w:t>50</w:t>
            </w:r>
          </w:p>
        </w:tc>
        <w:tc>
          <w:tcPr>
            <w:tcW w:w="893" w:type="dxa"/>
            <w:shd w:val="clear" w:color="000000" w:fill="FFFFFF"/>
            <w:vAlign w:val="center"/>
          </w:tcPr>
          <w:p>
            <w:pPr>
              <w:keepNext w:val="0"/>
              <w:keepLines w:val="0"/>
              <w:pageBreakBefore w:val="0"/>
              <w:widowControl/>
              <w:kinsoku/>
              <w:wordWrap/>
              <w:overflowPunct/>
              <w:topLinePunct w:val="0"/>
              <w:autoSpaceDE/>
              <w:autoSpaceDN/>
              <w:bidi w:val="0"/>
              <w:jc w:val="center"/>
              <w:textAlignment w:val="auto"/>
              <w:rPr>
                <w:rFonts w:ascii="仿宋" w:hAnsi="仿宋" w:eastAsia="仿宋" w:cs="Arial"/>
                <w:color w:val="auto"/>
                <w:sz w:val="22"/>
                <w:szCs w:val="22"/>
                <w:highlight w:val="none"/>
              </w:rPr>
            </w:pPr>
            <w:r>
              <w:rPr>
                <w:rFonts w:hint="eastAsia" w:ascii="仿宋" w:hAnsi="仿宋" w:eastAsia="仿宋" w:cs="仿宋"/>
                <w:color w:val="auto"/>
                <w:kern w:val="0"/>
                <w:sz w:val="22"/>
                <w:szCs w:val="22"/>
                <w:highlight w:val="none"/>
              </w:rPr>
              <w:t>站</w:t>
            </w:r>
          </w:p>
        </w:tc>
        <w:tc>
          <w:tcPr>
            <w:tcW w:w="813" w:type="dxa"/>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仿宋" w:hAnsi="仿宋" w:eastAsia="仿宋" w:cs="Arial"/>
                <w:color w:val="auto"/>
                <w:sz w:val="22"/>
                <w:szCs w:val="22"/>
                <w:highlight w:val="none"/>
              </w:rPr>
            </w:pPr>
            <w:r>
              <w:rPr>
                <w:rFonts w:hint="eastAsia" w:ascii="仿宋" w:hAnsi="仿宋" w:eastAsia="仿宋" w:cs="仿宋"/>
                <w:color w:val="auto"/>
                <w:kern w:val="0"/>
                <w:sz w:val="22"/>
                <w:szCs w:val="22"/>
                <w:highlight w:val="none"/>
              </w:rPr>
              <w:t>1年</w:t>
            </w:r>
          </w:p>
        </w:tc>
        <w:tc>
          <w:tcPr>
            <w:tcW w:w="974" w:type="dxa"/>
            <w:vAlign w:val="center"/>
          </w:tcPr>
          <w:p>
            <w:pPr>
              <w:keepNext w:val="0"/>
              <w:keepLines w:val="0"/>
              <w:pageBreakBefore w:val="0"/>
              <w:widowControl/>
              <w:kinsoku/>
              <w:wordWrap/>
              <w:overflowPunct/>
              <w:topLinePunct w:val="0"/>
              <w:autoSpaceDE/>
              <w:autoSpaceDN/>
              <w:bidi w:val="0"/>
              <w:jc w:val="center"/>
              <w:textAlignment w:val="auto"/>
              <w:rPr>
                <w:rFonts w:ascii="仿宋" w:hAnsi="仿宋" w:eastAsia="仿宋" w:cs="Arial"/>
                <w:color w:val="auto"/>
                <w:sz w:val="22"/>
                <w:szCs w:val="22"/>
                <w:highlight w:val="none"/>
              </w:rPr>
            </w:pPr>
            <w:r>
              <w:rPr>
                <w:rFonts w:hint="eastAsia" w:ascii="仿宋" w:hAnsi="仿宋" w:eastAsia="仿宋" w:cs="仿宋"/>
                <w:color w:val="auto"/>
                <w:kern w:val="0"/>
                <w:sz w:val="22"/>
                <w:szCs w:val="22"/>
                <w:highlight w:val="none"/>
              </w:rPr>
              <w:t>1年</w:t>
            </w:r>
          </w:p>
        </w:tc>
        <w:tc>
          <w:tcPr>
            <w:tcW w:w="3053" w:type="dxa"/>
            <w:vAlign w:val="center"/>
          </w:tcPr>
          <w:p>
            <w:pPr>
              <w:pStyle w:val="5"/>
              <w:widowControl/>
              <w:numPr>
                <w:ilvl w:val="0"/>
                <w:numId w:val="3"/>
              </w:numPr>
              <w:jc w:val="left"/>
              <w:rPr>
                <w:rFonts w:hint="eastAsia" w:ascii="仿宋" w:hAnsi="仿宋" w:eastAsia="仿宋" w:cs="仿宋"/>
                <w:color w:val="auto"/>
                <w:kern w:val="0"/>
                <w:sz w:val="22"/>
                <w:szCs w:val="22"/>
                <w:highlight w:val="none"/>
                <w:lang w:eastAsia="zh-CN"/>
              </w:rPr>
            </w:pP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color w:val="auto"/>
                <w:kern w:val="0"/>
                <w:sz w:val="22"/>
                <w:szCs w:val="22"/>
                <w:highlight w:val="none"/>
              </w:rPr>
              <w:t>应答人应具有独立订立合同的法人资格</w:t>
            </w:r>
            <w:r>
              <w:rPr>
                <w:rFonts w:hint="eastAsia" w:ascii="仿宋" w:hAnsi="仿宋" w:eastAsia="仿宋" w:cs="仿宋"/>
                <w:color w:val="auto"/>
                <w:kern w:val="0"/>
                <w:sz w:val="22"/>
                <w:szCs w:val="22"/>
                <w:highlight w:val="none"/>
                <w:lang w:eastAsia="zh-CN"/>
              </w:rPr>
              <w:t>；</w:t>
            </w:r>
          </w:p>
          <w:p>
            <w:pPr>
              <w:pStyle w:val="5"/>
              <w:widowControl/>
              <w:numPr>
                <w:ilvl w:val="0"/>
                <w:numId w:val="3"/>
              </w:numPr>
              <w:jc w:val="left"/>
              <w:rPr>
                <w:rFonts w:hint="eastAsia" w:ascii="仿宋" w:hAnsi="仿宋" w:eastAsia="仿宋" w:cs="宋体"/>
                <w:color w:val="auto"/>
                <w:sz w:val="22"/>
                <w:szCs w:val="22"/>
                <w:highlight w:val="none"/>
                <w:lang w:eastAsia="zh-CN"/>
              </w:rPr>
            </w:pPr>
            <w:r>
              <w:rPr>
                <w:rFonts w:hint="eastAsia" w:ascii="仿宋" w:hAnsi="仿宋" w:eastAsia="仿宋" w:cs="仿宋"/>
                <w:b w:val="0"/>
                <w:bCs w:val="0"/>
                <w:color w:val="auto"/>
                <w:kern w:val="0"/>
                <w:sz w:val="22"/>
                <w:szCs w:val="22"/>
                <w:highlight w:val="none"/>
              </w:rPr>
              <w:t>有效的安全生产许可证</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color w:val="auto"/>
                <w:kern w:val="0"/>
                <w:sz w:val="22"/>
                <w:szCs w:val="22"/>
                <w:highlight w:val="none"/>
              </w:rPr>
              <w:t>有效期内的安全生产许可证件</w:t>
            </w:r>
            <w:r>
              <w:rPr>
                <w:rFonts w:hint="eastAsia" w:ascii="仿宋" w:hAnsi="仿宋" w:eastAsia="仿宋" w:cs="仿宋"/>
                <w:color w:val="auto"/>
                <w:kern w:val="0"/>
                <w:sz w:val="22"/>
                <w:szCs w:val="22"/>
                <w:highlight w:val="none"/>
                <w:lang w:eastAsia="zh-CN"/>
              </w:rPr>
              <w:t>；</w:t>
            </w:r>
          </w:p>
          <w:p>
            <w:pPr>
              <w:pStyle w:val="5"/>
              <w:widowControl/>
              <w:numPr>
                <w:ilvl w:val="0"/>
                <w:numId w:val="3"/>
              </w:numPr>
              <w:jc w:val="left"/>
              <w:rPr>
                <w:rFonts w:ascii="仿宋" w:hAnsi="仿宋" w:eastAsia="仿宋" w:cs="宋体"/>
                <w:color w:val="auto"/>
                <w:sz w:val="22"/>
                <w:szCs w:val="22"/>
                <w:highlight w:val="none"/>
              </w:rPr>
            </w:pPr>
            <w:r>
              <w:rPr>
                <w:rFonts w:hint="eastAsia" w:ascii="仿宋" w:hAnsi="仿宋" w:eastAsia="仿宋" w:cs="仿宋"/>
                <w:b w:val="0"/>
                <w:bCs w:val="0"/>
                <w:color w:val="auto"/>
                <w:kern w:val="0"/>
                <w:sz w:val="22"/>
                <w:szCs w:val="22"/>
                <w:highlight w:val="none"/>
              </w:rPr>
              <w:t>有效的资质等级证书</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color w:val="auto"/>
                <w:kern w:val="0"/>
                <w:sz w:val="22"/>
                <w:szCs w:val="22"/>
                <w:highlight w:val="none"/>
              </w:rPr>
              <w:t>建筑机电安装工程专业承包叁级或机电工程施工总承包叁级或电子与智能化工程专业承包叁级或输变电站工程专业承包叁级及以上资质</w:t>
            </w:r>
            <w:r>
              <w:rPr>
                <w:rFonts w:hint="eastAsia" w:ascii="仿宋" w:hAnsi="仿宋" w:eastAsia="仿宋" w:cs="仿宋"/>
                <w:color w:val="auto"/>
                <w:kern w:val="0"/>
                <w:sz w:val="22"/>
                <w:szCs w:val="22"/>
                <w:highlight w:val="none"/>
                <w:lang w:eastAsia="zh-CN"/>
              </w:rPr>
              <w:t>；</w:t>
            </w:r>
          </w:p>
          <w:p>
            <w:pPr>
              <w:pStyle w:val="5"/>
              <w:widowControl/>
              <w:numPr>
                <w:ilvl w:val="0"/>
                <w:numId w:val="3"/>
              </w:numPr>
              <w:jc w:val="left"/>
              <w:rPr>
                <w:rFonts w:ascii="仿宋" w:hAnsi="仿宋" w:eastAsia="仿宋" w:cs="宋体"/>
                <w:color w:val="auto"/>
                <w:sz w:val="22"/>
                <w:szCs w:val="22"/>
                <w:highlight w:val="none"/>
              </w:rPr>
            </w:pPr>
            <w:r>
              <w:rPr>
                <w:rFonts w:hint="eastAsia" w:ascii="仿宋" w:hAnsi="仿宋" w:eastAsia="仿宋" w:cs="仿宋"/>
                <w:b w:val="0"/>
                <w:bCs w:val="0"/>
                <w:color w:val="auto"/>
                <w:kern w:val="0"/>
                <w:sz w:val="22"/>
                <w:szCs w:val="22"/>
                <w:highlight w:val="none"/>
              </w:rPr>
              <w:t>备注</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color w:val="auto"/>
                <w:kern w:val="0"/>
                <w:sz w:val="22"/>
                <w:szCs w:val="22"/>
                <w:highlight w:val="none"/>
              </w:rPr>
              <w:t>不接受代理商及联合体投标</w:t>
            </w:r>
            <w:r>
              <w:rPr>
                <w:rFonts w:hint="eastAsia" w:ascii="仿宋" w:hAnsi="仿宋" w:eastAsia="仿宋" w:cs="仿宋"/>
                <w:color w:val="auto"/>
                <w:kern w:val="0"/>
                <w:sz w:val="22"/>
                <w:szCs w:val="22"/>
                <w:highlight w:val="none"/>
                <w:lang w:eastAsia="zh-CN"/>
              </w:rPr>
              <w:t>。</w:t>
            </w:r>
          </w:p>
        </w:tc>
        <w:tc>
          <w:tcPr>
            <w:tcW w:w="1316" w:type="dxa"/>
            <w:vAlign w:val="center"/>
          </w:tcPr>
          <w:p>
            <w:pPr>
              <w:pStyle w:val="5"/>
              <w:widowControl/>
              <w:jc w:val="center"/>
              <w:rPr>
                <w:rFonts w:hint="eastAsia" w:ascii="仿宋" w:hAnsi="仿宋" w:eastAsia="仿宋" w:cs="宋体"/>
                <w:color w:val="auto"/>
                <w:sz w:val="22"/>
                <w:szCs w:val="22"/>
                <w:highlight w:val="none"/>
                <w:lang w:val="en-US" w:eastAsia="zh-CN"/>
              </w:rPr>
            </w:pPr>
            <w:r>
              <w:rPr>
                <w:rFonts w:hint="eastAsia" w:ascii="仿宋" w:hAnsi="仿宋" w:eastAsia="仿宋" w:cs="宋体"/>
                <w:color w:val="auto"/>
                <w:sz w:val="22"/>
                <w:szCs w:val="22"/>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893" w:type="dxa"/>
            <w:vAlign w:val="center"/>
          </w:tcPr>
          <w:p>
            <w:pPr>
              <w:pStyle w:val="5"/>
              <w:widowControl/>
              <w:jc w:val="center"/>
              <w:rPr>
                <w:rFonts w:hint="eastAsia" w:ascii="仿宋" w:hAnsi="仿宋" w:eastAsia="仿宋" w:cs="Arial"/>
                <w:color w:val="auto"/>
                <w:sz w:val="22"/>
                <w:szCs w:val="22"/>
                <w:highlight w:val="none"/>
                <w:lang w:eastAsia="zh-CN"/>
              </w:rPr>
            </w:pPr>
            <w:r>
              <w:rPr>
                <w:rFonts w:hint="eastAsia" w:ascii="仿宋" w:hAnsi="仿宋" w:eastAsia="仿宋" w:cs="Arial"/>
                <w:color w:val="auto"/>
                <w:sz w:val="22"/>
                <w:szCs w:val="22"/>
                <w:highlight w:val="none"/>
              </w:rPr>
              <w:t>包</w:t>
            </w:r>
            <w:r>
              <w:rPr>
                <w:rFonts w:hint="eastAsia" w:ascii="仿宋" w:hAnsi="仿宋" w:eastAsia="仿宋" w:cs="Arial"/>
                <w:color w:val="auto"/>
                <w:sz w:val="22"/>
                <w:szCs w:val="22"/>
                <w:highlight w:val="none"/>
                <w:lang w:val="en-US" w:eastAsia="zh-CN"/>
              </w:rPr>
              <w:t>4</w:t>
            </w:r>
          </w:p>
        </w:tc>
        <w:tc>
          <w:tcPr>
            <w:tcW w:w="1522" w:type="dxa"/>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仿宋" w:hAnsi="仿宋" w:eastAsia="仿宋" w:cs="Arial"/>
                <w:color w:val="auto"/>
                <w:sz w:val="22"/>
                <w:szCs w:val="22"/>
                <w:highlight w:val="none"/>
              </w:rPr>
            </w:pPr>
            <w:r>
              <w:rPr>
                <w:rFonts w:hint="eastAsia" w:ascii="仿宋" w:hAnsi="仿宋" w:eastAsia="仿宋" w:cs="仿宋"/>
                <w:color w:val="auto"/>
                <w:kern w:val="0"/>
                <w:sz w:val="22"/>
                <w:szCs w:val="22"/>
                <w:highlight w:val="none"/>
              </w:rPr>
              <w:t>变电站在线智能巡视系统安装服务项目（包四）</w:t>
            </w:r>
          </w:p>
        </w:tc>
        <w:tc>
          <w:tcPr>
            <w:tcW w:w="3138" w:type="dxa"/>
            <w:shd w:val="clear" w:color="auto" w:fill="auto"/>
            <w:vAlign w:val="center"/>
          </w:tcPr>
          <w:p>
            <w:pPr>
              <w:keepNext w:val="0"/>
              <w:keepLines w:val="0"/>
              <w:pageBreakBefore w:val="0"/>
              <w:widowControl/>
              <w:kinsoku/>
              <w:wordWrap/>
              <w:overflowPunct/>
              <w:topLinePunct w:val="0"/>
              <w:autoSpaceDE/>
              <w:autoSpaceDN/>
              <w:bidi w:val="0"/>
              <w:jc w:val="left"/>
              <w:textAlignment w:val="auto"/>
              <w:rPr>
                <w:rFonts w:ascii="仿宋" w:hAnsi="仿宋" w:eastAsia="仿宋" w:cs="Arial"/>
                <w:color w:val="auto"/>
                <w:sz w:val="22"/>
                <w:szCs w:val="22"/>
                <w:highlight w:val="none"/>
              </w:rPr>
            </w:pPr>
            <w:r>
              <w:rPr>
                <w:rFonts w:hint="eastAsia" w:ascii="仿宋" w:hAnsi="仿宋" w:eastAsia="仿宋" w:cs="仿宋"/>
                <w:color w:val="auto"/>
                <w:kern w:val="0"/>
                <w:sz w:val="22"/>
                <w:szCs w:val="22"/>
                <w:highlight w:val="none"/>
              </w:rPr>
              <w:t>变电站在线智能巡视安装服务项目内容包括：高清网络摄像机安装；监控立杆安装；辅助控制箱安装；电源电缆及网线敷设；光纤敷设；各类管材线槽安装；墙面开槽及恢复；电缆沟开挖及回填；后台系统设备安装；屏柜安装；系统接地；防火封堵；所涉及的的建筑和绿化设施拆除和恢复；招标方要求的各类设计外少量的零星施工和用工工作；其它投运站点的少量维护工作。</w:t>
            </w:r>
          </w:p>
        </w:tc>
        <w:tc>
          <w:tcPr>
            <w:tcW w:w="974" w:type="dxa"/>
            <w:shd w:val="clear" w:color="000000" w:fill="FFFFFF"/>
            <w:vAlign w:val="center"/>
          </w:tcPr>
          <w:p>
            <w:pPr>
              <w:keepNext w:val="0"/>
              <w:keepLines w:val="0"/>
              <w:pageBreakBefore w:val="0"/>
              <w:widowControl/>
              <w:kinsoku/>
              <w:wordWrap/>
              <w:overflowPunct/>
              <w:topLinePunct w:val="0"/>
              <w:autoSpaceDE/>
              <w:autoSpaceDN/>
              <w:bidi w:val="0"/>
              <w:jc w:val="center"/>
              <w:textAlignment w:val="auto"/>
              <w:rPr>
                <w:rFonts w:ascii="仿宋" w:hAnsi="仿宋" w:eastAsia="仿宋" w:cs="Arial"/>
                <w:color w:val="auto"/>
                <w:sz w:val="22"/>
                <w:szCs w:val="22"/>
                <w:highlight w:val="none"/>
              </w:rPr>
            </w:pPr>
            <w:r>
              <w:rPr>
                <w:rFonts w:hint="eastAsia" w:ascii="仿宋" w:hAnsi="仿宋" w:eastAsia="仿宋" w:cs="仿宋"/>
                <w:color w:val="auto"/>
                <w:kern w:val="0"/>
                <w:sz w:val="22"/>
                <w:szCs w:val="22"/>
                <w:highlight w:val="none"/>
              </w:rPr>
              <w:t>37</w:t>
            </w:r>
          </w:p>
        </w:tc>
        <w:tc>
          <w:tcPr>
            <w:tcW w:w="893" w:type="dxa"/>
            <w:shd w:val="clear" w:color="000000" w:fill="FFFFFF"/>
            <w:vAlign w:val="center"/>
          </w:tcPr>
          <w:p>
            <w:pPr>
              <w:keepNext w:val="0"/>
              <w:keepLines w:val="0"/>
              <w:pageBreakBefore w:val="0"/>
              <w:widowControl/>
              <w:kinsoku/>
              <w:wordWrap/>
              <w:overflowPunct/>
              <w:topLinePunct w:val="0"/>
              <w:autoSpaceDE/>
              <w:autoSpaceDN/>
              <w:bidi w:val="0"/>
              <w:jc w:val="center"/>
              <w:textAlignment w:val="auto"/>
              <w:rPr>
                <w:rFonts w:ascii="仿宋" w:hAnsi="仿宋" w:eastAsia="仿宋" w:cs="Arial"/>
                <w:color w:val="auto"/>
                <w:sz w:val="22"/>
                <w:szCs w:val="22"/>
                <w:highlight w:val="none"/>
              </w:rPr>
            </w:pPr>
            <w:r>
              <w:rPr>
                <w:rFonts w:hint="eastAsia" w:ascii="仿宋" w:hAnsi="仿宋" w:eastAsia="仿宋" w:cs="仿宋"/>
                <w:color w:val="auto"/>
                <w:kern w:val="0"/>
                <w:sz w:val="22"/>
                <w:szCs w:val="22"/>
                <w:highlight w:val="none"/>
              </w:rPr>
              <w:t>站</w:t>
            </w:r>
          </w:p>
        </w:tc>
        <w:tc>
          <w:tcPr>
            <w:tcW w:w="813" w:type="dxa"/>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仿宋" w:hAnsi="仿宋" w:eastAsia="仿宋" w:cs="Arial"/>
                <w:color w:val="auto"/>
                <w:sz w:val="22"/>
                <w:szCs w:val="22"/>
                <w:highlight w:val="none"/>
              </w:rPr>
            </w:pPr>
            <w:r>
              <w:rPr>
                <w:rFonts w:hint="eastAsia" w:ascii="仿宋" w:hAnsi="仿宋" w:eastAsia="仿宋" w:cs="仿宋"/>
                <w:color w:val="auto"/>
                <w:kern w:val="0"/>
                <w:sz w:val="22"/>
                <w:szCs w:val="22"/>
                <w:highlight w:val="none"/>
              </w:rPr>
              <w:t>1年</w:t>
            </w:r>
          </w:p>
        </w:tc>
        <w:tc>
          <w:tcPr>
            <w:tcW w:w="974" w:type="dxa"/>
            <w:vAlign w:val="center"/>
          </w:tcPr>
          <w:p>
            <w:pPr>
              <w:keepNext w:val="0"/>
              <w:keepLines w:val="0"/>
              <w:pageBreakBefore w:val="0"/>
              <w:widowControl/>
              <w:kinsoku/>
              <w:wordWrap/>
              <w:overflowPunct/>
              <w:topLinePunct w:val="0"/>
              <w:autoSpaceDE/>
              <w:autoSpaceDN/>
              <w:bidi w:val="0"/>
              <w:jc w:val="center"/>
              <w:textAlignment w:val="auto"/>
              <w:rPr>
                <w:rFonts w:ascii="仿宋" w:hAnsi="仿宋" w:eastAsia="仿宋" w:cs="Arial"/>
                <w:color w:val="auto"/>
                <w:sz w:val="22"/>
                <w:szCs w:val="22"/>
                <w:highlight w:val="none"/>
              </w:rPr>
            </w:pPr>
            <w:r>
              <w:rPr>
                <w:rFonts w:hint="eastAsia" w:ascii="仿宋" w:hAnsi="仿宋" w:eastAsia="仿宋" w:cs="仿宋"/>
                <w:color w:val="auto"/>
                <w:kern w:val="0"/>
                <w:sz w:val="22"/>
                <w:szCs w:val="22"/>
                <w:highlight w:val="none"/>
              </w:rPr>
              <w:t>1年</w:t>
            </w:r>
          </w:p>
        </w:tc>
        <w:tc>
          <w:tcPr>
            <w:tcW w:w="3053" w:type="dxa"/>
            <w:vAlign w:val="center"/>
          </w:tcPr>
          <w:p>
            <w:pPr>
              <w:pStyle w:val="5"/>
              <w:widowControl/>
              <w:numPr>
                <w:ilvl w:val="0"/>
                <w:numId w:val="4"/>
              </w:numPr>
              <w:jc w:val="left"/>
              <w:rPr>
                <w:rFonts w:hint="eastAsia" w:ascii="仿宋" w:hAnsi="仿宋" w:eastAsia="仿宋" w:cs="仿宋"/>
                <w:color w:val="auto"/>
                <w:kern w:val="0"/>
                <w:sz w:val="22"/>
                <w:szCs w:val="22"/>
                <w:highlight w:val="none"/>
                <w:lang w:eastAsia="zh-CN"/>
              </w:rPr>
            </w:pP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color w:val="auto"/>
                <w:kern w:val="0"/>
                <w:sz w:val="22"/>
                <w:szCs w:val="22"/>
                <w:highlight w:val="none"/>
              </w:rPr>
              <w:t>应答人应具有独立订立合同的法人资格</w:t>
            </w:r>
            <w:r>
              <w:rPr>
                <w:rFonts w:hint="eastAsia" w:ascii="仿宋" w:hAnsi="仿宋" w:eastAsia="仿宋" w:cs="仿宋"/>
                <w:color w:val="auto"/>
                <w:kern w:val="0"/>
                <w:sz w:val="22"/>
                <w:szCs w:val="22"/>
                <w:highlight w:val="none"/>
                <w:lang w:eastAsia="zh-CN"/>
              </w:rPr>
              <w:t>；</w:t>
            </w:r>
          </w:p>
          <w:p>
            <w:pPr>
              <w:pStyle w:val="5"/>
              <w:widowControl/>
              <w:numPr>
                <w:ilvl w:val="0"/>
                <w:numId w:val="4"/>
              </w:numPr>
              <w:jc w:val="left"/>
              <w:rPr>
                <w:rFonts w:hint="eastAsia" w:ascii="仿宋" w:hAnsi="仿宋" w:eastAsia="仿宋" w:cs="宋体"/>
                <w:color w:val="auto"/>
                <w:sz w:val="22"/>
                <w:szCs w:val="22"/>
                <w:highlight w:val="none"/>
                <w:lang w:eastAsia="zh-CN"/>
              </w:rPr>
            </w:pPr>
            <w:r>
              <w:rPr>
                <w:rFonts w:hint="eastAsia" w:ascii="仿宋" w:hAnsi="仿宋" w:eastAsia="仿宋" w:cs="仿宋"/>
                <w:b w:val="0"/>
                <w:bCs w:val="0"/>
                <w:color w:val="auto"/>
                <w:kern w:val="0"/>
                <w:sz w:val="22"/>
                <w:szCs w:val="22"/>
                <w:highlight w:val="none"/>
              </w:rPr>
              <w:t>有效的安全生产许可证</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color w:val="auto"/>
                <w:kern w:val="0"/>
                <w:sz w:val="22"/>
                <w:szCs w:val="22"/>
                <w:highlight w:val="none"/>
              </w:rPr>
              <w:t>有效期内的安全生产许可证件</w:t>
            </w:r>
            <w:r>
              <w:rPr>
                <w:rFonts w:hint="eastAsia" w:ascii="仿宋" w:hAnsi="仿宋" w:eastAsia="仿宋" w:cs="仿宋"/>
                <w:color w:val="auto"/>
                <w:kern w:val="0"/>
                <w:sz w:val="22"/>
                <w:szCs w:val="22"/>
                <w:highlight w:val="none"/>
                <w:lang w:eastAsia="zh-CN"/>
              </w:rPr>
              <w:t>；</w:t>
            </w:r>
          </w:p>
          <w:p>
            <w:pPr>
              <w:pStyle w:val="5"/>
              <w:widowControl/>
              <w:numPr>
                <w:ilvl w:val="0"/>
                <w:numId w:val="4"/>
              </w:numPr>
              <w:jc w:val="left"/>
              <w:rPr>
                <w:rFonts w:ascii="仿宋" w:hAnsi="仿宋" w:eastAsia="仿宋" w:cs="宋体"/>
                <w:color w:val="auto"/>
                <w:sz w:val="22"/>
                <w:szCs w:val="22"/>
                <w:highlight w:val="none"/>
              </w:rPr>
            </w:pPr>
            <w:r>
              <w:rPr>
                <w:rFonts w:hint="eastAsia" w:ascii="仿宋" w:hAnsi="仿宋" w:eastAsia="仿宋" w:cs="仿宋"/>
                <w:b w:val="0"/>
                <w:bCs w:val="0"/>
                <w:color w:val="auto"/>
                <w:kern w:val="0"/>
                <w:sz w:val="22"/>
                <w:szCs w:val="22"/>
                <w:highlight w:val="none"/>
              </w:rPr>
              <w:t>有效的资质等级证书</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color w:val="auto"/>
                <w:kern w:val="0"/>
                <w:sz w:val="22"/>
                <w:szCs w:val="22"/>
                <w:highlight w:val="none"/>
              </w:rPr>
              <w:t>建筑机电安装工程专业承包叁级或机电工程施工总承包叁级或电子与智能化工程专业承包叁级或输变电站工程专业承包叁级及以上资质</w:t>
            </w:r>
            <w:r>
              <w:rPr>
                <w:rFonts w:hint="eastAsia" w:ascii="仿宋" w:hAnsi="仿宋" w:eastAsia="仿宋" w:cs="仿宋"/>
                <w:color w:val="auto"/>
                <w:kern w:val="0"/>
                <w:sz w:val="22"/>
                <w:szCs w:val="22"/>
                <w:highlight w:val="none"/>
                <w:lang w:eastAsia="zh-CN"/>
              </w:rPr>
              <w:t>；</w:t>
            </w:r>
          </w:p>
          <w:p>
            <w:pPr>
              <w:pStyle w:val="5"/>
              <w:widowControl/>
              <w:numPr>
                <w:ilvl w:val="0"/>
                <w:numId w:val="4"/>
              </w:numPr>
              <w:jc w:val="left"/>
              <w:rPr>
                <w:rFonts w:ascii="仿宋" w:hAnsi="仿宋" w:eastAsia="仿宋" w:cs="宋体"/>
                <w:color w:val="auto"/>
                <w:sz w:val="22"/>
                <w:szCs w:val="22"/>
                <w:highlight w:val="none"/>
              </w:rPr>
            </w:pPr>
            <w:r>
              <w:rPr>
                <w:rFonts w:hint="eastAsia" w:ascii="仿宋" w:hAnsi="仿宋" w:eastAsia="仿宋" w:cs="仿宋"/>
                <w:b w:val="0"/>
                <w:bCs w:val="0"/>
                <w:color w:val="auto"/>
                <w:kern w:val="0"/>
                <w:sz w:val="22"/>
                <w:szCs w:val="22"/>
                <w:highlight w:val="none"/>
              </w:rPr>
              <w:t>备注</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color w:val="auto"/>
                <w:kern w:val="0"/>
                <w:sz w:val="22"/>
                <w:szCs w:val="22"/>
                <w:highlight w:val="none"/>
              </w:rPr>
              <w:t>不接受代理商及联合体投标</w:t>
            </w:r>
            <w:r>
              <w:rPr>
                <w:rFonts w:hint="eastAsia" w:ascii="仿宋" w:hAnsi="仿宋" w:eastAsia="仿宋" w:cs="仿宋"/>
                <w:color w:val="auto"/>
                <w:kern w:val="0"/>
                <w:sz w:val="22"/>
                <w:szCs w:val="22"/>
                <w:highlight w:val="none"/>
                <w:lang w:eastAsia="zh-CN"/>
              </w:rPr>
              <w:t>。</w:t>
            </w:r>
          </w:p>
        </w:tc>
        <w:tc>
          <w:tcPr>
            <w:tcW w:w="1316" w:type="dxa"/>
            <w:vAlign w:val="center"/>
          </w:tcPr>
          <w:p>
            <w:pPr>
              <w:pStyle w:val="5"/>
              <w:widowControl/>
              <w:jc w:val="center"/>
              <w:rPr>
                <w:rFonts w:hint="eastAsia" w:ascii="仿宋" w:hAnsi="仿宋" w:eastAsia="仿宋" w:cs="宋体"/>
                <w:color w:val="auto"/>
                <w:sz w:val="22"/>
                <w:szCs w:val="22"/>
                <w:highlight w:val="none"/>
                <w:lang w:val="en-US" w:eastAsia="zh-CN"/>
              </w:rPr>
            </w:pPr>
            <w:r>
              <w:rPr>
                <w:rFonts w:hint="eastAsia" w:ascii="仿宋" w:hAnsi="仿宋" w:eastAsia="仿宋" w:cs="宋体"/>
                <w:color w:val="auto"/>
                <w:sz w:val="22"/>
                <w:szCs w:val="22"/>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893" w:type="dxa"/>
            <w:vAlign w:val="center"/>
          </w:tcPr>
          <w:p>
            <w:pPr>
              <w:pStyle w:val="5"/>
              <w:widowControl/>
              <w:jc w:val="center"/>
              <w:rPr>
                <w:rFonts w:hint="eastAsia" w:ascii="仿宋" w:hAnsi="仿宋" w:eastAsia="仿宋" w:cs="Arial"/>
                <w:color w:val="auto"/>
                <w:sz w:val="22"/>
                <w:szCs w:val="22"/>
                <w:highlight w:val="none"/>
                <w:lang w:eastAsia="zh-CN"/>
              </w:rPr>
            </w:pPr>
            <w:r>
              <w:rPr>
                <w:rFonts w:hint="eastAsia" w:ascii="仿宋" w:hAnsi="仿宋" w:eastAsia="仿宋" w:cs="Arial"/>
                <w:color w:val="auto"/>
                <w:sz w:val="22"/>
                <w:szCs w:val="22"/>
                <w:highlight w:val="none"/>
              </w:rPr>
              <w:t>包</w:t>
            </w:r>
            <w:r>
              <w:rPr>
                <w:rFonts w:hint="eastAsia" w:ascii="仿宋" w:hAnsi="仿宋" w:eastAsia="仿宋" w:cs="Arial"/>
                <w:color w:val="auto"/>
                <w:sz w:val="22"/>
                <w:szCs w:val="22"/>
                <w:highlight w:val="none"/>
                <w:lang w:val="en-US" w:eastAsia="zh-CN"/>
              </w:rPr>
              <w:t>5</w:t>
            </w:r>
          </w:p>
        </w:tc>
        <w:tc>
          <w:tcPr>
            <w:tcW w:w="1522" w:type="dxa"/>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仿宋" w:hAnsi="仿宋" w:eastAsia="仿宋" w:cs="Arial"/>
                <w:color w:val="auto"/>
                <w:sz w:val="22"/>
                <w:szCs w:val="22"/>
                <w:highlight w:val="none"/>
              </w:rPr>
            </w:pPr>
            <w:r>
              <w:rPr>
                <w:rFonts w:hint="eastAsia" w:ascii="仿宋" w:hAnsi="仿宋" w:eastAsia="仿宋" w:cs="仿宋"/>
                <w:color w:val="auto"/>
                <w:kern w:val="0"/>
                <w:sz w:val="22"/>
                <w:szCs w:val="22"/>
                <w:highlight w:val="none"/>
              </w:rPr>
              <w:t>变电站在线智能巡视系统安装服务项目（包五）</w:t>
            </w:r>
          </w:p>
        </w:tc>
        <w:tc>
          <w:tcPr>
            <w:tcW w:w="3138" w:type="dxa"/>
            <w:shd w:val="clear" w:color="auto" w:fill="auto"/>
            <w:vAlign w:val="center"/>
          </w:tcPr>
          <w:p>
            <w:pPr>
              <w:keepNext w:val="0"/>
              <w:keepLines w:val="0"/>
              <w:pageBreakBefore w:val="0"/>
              <w:widowControl/>
              <w:kinsoku/>
              <w:wordWrap/>
              <w:overflowPunct/>
              <w:topLinePunct w:val="0"/>
              <w:autoSpaceDE/>
              <w:autoSpaceDN/>
              <w:bidi w:val="0"/>
              <w:jc w:val="left"/>
              <w:textAlignment w:val="auto"/>
              <w:rPr>
                <w:rFonts w:ascii="仿宋" w:hAnsi="仿宋" w:eastAsia="仿宋" w:cs="Arial"/>
                <w:color w:val="auto"/>
                <w:sz w:val="22"/>
                <w:szCs w:val="22"/>
                <w:highlight w:val="none"/>
              </w:rPr>
            </w:pPr>
            <w:r>
              <w:rPr>
                <w:rFonts w:hint="eastAsia" w:ascii="仿宋" w:hAnsi="仿宋" w:eastAsia="仿宋" w:cs="仿宋"/>
                <w:color w:val="auto"/>
                <w:kern w:val="0"/>
                <w:sz w:val="22"/>
                <w:szCs w:val="22"/>
                <w:highlight w:val="none"/>
              </w:rPr>
              <w:t>变电站在线智能巡视安装服务项目内容包括：高清网络摄像机安装；监控立杆安装；辅助控制箱安装；电源电缆及网线敷设；光纤敷设；各类管材线槽安装；墙面开槽及恢复；电缆沟开挖及回填；后台系统设备安装；屏柜安装；系统接地；防火封堵；所涉及的的建筑和绿化设施拆除和恢复；招标方要求的各类设计外少量的零星施工和用工工作；其它投运站点的少量维护工作。</w:t>
            </w:r>
          </w:p>
        </w:tc>
        <w:tc>
          <w:tcPr>
            <w:tcW w:w="974" w:type="dxa"/>
            <w:shd w:val="clear" w:color="000000" w:fill="FFFFFF"/>
            <w:vAlign w:val="center"/>
          </w:tcPr>
          <w:p>
            <w:pPr>
              <w:keepNext w:val="0"/>
              <w:keepLines w:val="0"/>
              <w:pageBreakBefore w:val="0"/>
              <w:widowControl/>
              <w:kinsoku/>
              <w:wordWrap/>
              <w:overflowPunct/>
              <w:topLinePunct w:val="0"/>
              <w:autoSpaceDE/>
              <w:autoSpaceDN/>
              <w:bidi w:val="0"/>
              <w:jc w:val="center"/>
              <w:textAlignment w:val="auto"/>
              <w:rPr>
                <w:rFonts w:ascii="仿宋" w:hAnsi="仿宋" w:eastAsia="仿宋" w:cs="Arial"/>
                <w:color w:val="auto"/>
                <w:sz w:val="22"/>
                <w:szCs w:val="22"/>
                <w:highlight w:val="none"/>
              </w:rPr>
            </w:pPr>
            <w:r>
              <w:rPr>
                <w:rFonts w:hint="eastAsia" w:ascii="仿宋" w:hAnsi="仿宋" w:eastAsia="仿宋" w:cs="仿宋"/>
                <w:color w:val="auto"/>
                <w:kern w:val="0"/>
                <w:sz w:val="22"/>
                <w:szCs w:val="22"/>
                <w:highlight w:val="none"/>
              </w:rPr>
              <w:t>25</w:t>
            </w:r>
          </w:p>
        </w:tc>
        <w:tc>
          <w:tcPr>
            <w:tcW w:w="893" w:type="dxa"/>
            <w:shd w:val="clear" w:color="000000" w:fill="FFFFFF"/>
            <w:vAlign w:val="center"/>
          </w:tcPr>
          <w:p>
            <w:pPr>
              <w:keepNext w:val="0"/>
              <w:keepLines w:val="0"/>
              <w:pageBreakBefore w:val="0"/>
              <w:widowControl/>
              <w:kinsoku/>
              <w:wordWrap/>
              <w:overflowPunct/>
              <w:topLinePunct w:val="0"/>
              <w:autoSpaceDE/>
              <w:autoSpaceDN/>
              <w:bidi w:val="0"/>
              <w:jc w:val="center"/>
              <w:textAlignment w:val="auto"/>
              <w:rPr>
                <w:rFonts w:ascii="仿宋" w:hAnsi="仿宋" w:eastAsia="仿宋" w:cs="Arial"/>
                <w:color w:val="auto"/>
                <w:sz w:val="22"/>
                <w:szCs w:val="22"/>
                <w:highlight w:val="none"/>
              </w:rPr>
            </w:pPr>
            <w:r>
              <w:rPr>
                <w:rFonts w:hint="eastAsia" w:ascii="仿宋" w:hAnsi="仿宋" w:eastAsia="仿宋" w:cs="仿宋"/>
                <w:color w:val="auto"/>
                <w:kern w:val="0"/>
                <w:sz w:val="22"/>
                <w:szCs w:val="22"/>
                <w:highlight w:val="none"/>
              </w:rPr>
              <w:t>站</w:t>
            </w:r>
          </w:p>
        </w:tc>
        <w:tc>
          <w:tcPr>
            <w:tcW w:w="813" w:type="dxa"/>
            <w:shd w:val="clear" w:color="auto" w:fill="auto"/>
            <w:vAlign w:val="center"/>
          </w:tcPr>
          <w:p>
            <w:pPr>
              <w:keepNext w:val="0"/>
              <w:keepLines w:val="0"/>
              <w:pageBreakBefore w:val="0"/>
              <w:widowControl/>
              <w:kinsoku/>
              <w:wordWrap/>
              <w:overflowPunct/>
              <w:topLinePunct w:val="0"/>
              <w:autoSpaceDE/>
              <w:autoSpaceDN/>
              <w:bidi w:val="0"/>
              <w:jc w:val="center"/>
              <w:textAlignment w:val="auto"/>
              <w:rPr>
                <w:rFonts w:ascii="仿宋" w:hAnsi="仿宋" w:eastAsia="仿宋" w:cs="Arial"/>
                <w:color w:val="auto"/>
                <w:sz w:val="22"/>
                <w:szCs w:val="22"/>
                <w:highlight w:val="none"/>
              </w:rPr>
            </w:pPr>
            <w:r>
              <w:rPr>
                <w:rFonts w:hint="eastAsia" w:ascii="仿宋" w:hAnsi="仿宋" w:eastAsia="仿宋" w:cs="仿宋"/>
                <w:color w:val="auto"/>
                <w:kern w:val="0"/>
                <w:sz w:val="22"/>
                <w:szCs w:val="22"/>
                <w:highlight w:val="none"/>
              </w:rPr>
              <w:t>1年</w:t>
            </w:r>
          </w:p>
        </w:tc>
        <w:tc>
          <w:tcPr>
            <w:tcW w:w="974" w:type="dxa"/>
            <w:vAlign w:val="center"/>
          </w:tcPr>
          <w:p>
            <w:pPr>
              <w:keepNext w:val="0"/>
              <w:keepLines w:val="0"/>
              <w:pageBreakBefore w:val="0"/>
              <w:widowControl/>
              <w:kinsoku/>
              <w:wordWrap/>
              <w:overflowPunct/>
              <w:topLinePunct w:val="0"/>
              <w:autoSpaceDE/>
              <w:autoSpaceDN/>
              <w:bidi w:val="0"/>
              <w:jc w:val="center"/>
              <w:textAlignment w:val="auto"/>
              <w:rPr>
                <w:rFonts w:ascii="仿宋" w:hAnsi="仿宋" w:eastAsia="仿宋" w:cs="Arial"/>
                <w:color w:val="auto"/>
                <w:sz w:val="22"/>
                <w:szCs w:val="22"/>
                <w:highlight w:val="none"/>
              </w:rPr>
            </w:pPr>
            <w:r>
              <w:rPr>
                <w:rFonts w:hint="eastAsia" w:ascii="仿宋" w:hAnsi="仿宋" w:eastAsia="仿宋" w:cs="仿宋"/>
                <w:color w:val="auto"/>
                <w:kern w:val="0"/>
                <w:sz w:val="22"/>
                <w:szCs w:val="22"/>
                <w:highlight w:val="none"/>
              </w:rPr>
              <w:t>1年</w:t>
            </w:r>
          </w:p>
        </w:tc>
        <w:tc>
          <w:tcPr>
            <w:tcW w:w="3053" w:type="dxa"/>
            <w:vAlign w:val="center"/>
          </w:tcPr>
          <w:p>
            <w:pPr>
              <w:pStyle w:val="5"/>
              <w:widowControl/>
              <w:numPr>
                <w:ilvl w:val="0"/>
                <w:numId w:val="5"/>
              </w:numPr>
              <w:jc w:val="left"/>
              <w:rPr>
                <w:rFonts w:hint="eastAsia" w:ascii="仿宋" w:hAnsi="仿宋" w:eastAsia="仿宋" w:cs="仿宋"/>
                <w:color w:val="auto"/>
                <w:kern w:val="0"/>
                <w:sz w:val="22"/>
                <w:szCs w:val="22"/>
                <w:highlight w:val="none"/>
                <w:lang w:eastAsia="zh-CN"/>
              </w:rPr>
            </w:pP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color w:val="auto"/>
                <w:kern w:val="0"/>
                <w:sz w:val="22"/>
                <w:szCs w:val="22"/>
                <w:highlight w:val="none"/>
              </w:rPr>
              <w:t>应答人应具有独立订立合同的法人资格</w:t>
            </w:r>
            <w:r>
              <w:rPr>
                <w:rFonts w:hint="eastAsia" w:ascii="仿宋" w:hAnsi="仿宋" w:eastAsia="仿宋" w:cs="仿宋"/>
                <w:color w:val="auto"/>
                <w:kern w:val="0"/>
                <w:sz w:val="22"/>
                <w:szCs w:val="22"/>
                <w:highlight w:val="none"/>
                <w:lang w:eastAsia="zh-CN"/>
              </w:rPr>
              <w:t>；</w:t>
            </w:r>
          </w:p>
          <w:p>
            <w:pPr>
              <w:pStyle w:val="5"/>
              <w:widowControl/>
              <w:numPr>
                <w:ilvl w:val="0"/>
                <w:numId w:val="5"/>
              </w:numPr>
              <w:jc w:val="left"/>
              <w:rPr>
                <w:rFonts w:hint="eastAsia" w:ascii="仿宋" w:hAnsi="仿宋" w:eastAsia="仿宋" w:cs="宋体"/>
                <w:color w:val="auto"/>
                <w:sz w:val="22"/>
                <w:szCs w:val="22"/>
                <w:highlight w:val="none"/>
                <w:lang w:eastAsia="zh-CN"/>
              </w:rPr>
            </w:pPr>
            <w:r>
              <w:rPr>
                <w:rFonts w:hint="eastAsia" w:ascii="仿宋" w:hAnsi="仿宋" w:eastAsia="仿宋" w:cs="仿宋"/>
                <w:b w:val="0"/>
                <w:bCs w:val="0"/>
                <w:color w:val="auto"/>
                <w:kern w:val="0"/>
                <w:sz w:val="22"/>
                <w:szCs w:val="22"/>
                <w:highlight w:val="none"/>
              </w:rPr>
              <w:t>有效的安全生产许可证</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color w:val="auto"/>
                <w:kern w:val="0"/>
                <w:sz w:val="22"/>
                <w:szCs w:val="22"/>
                <w:highlight w:val="none"/>
              </w:rPr>
              <w:t>有效期内的安全生产许可证件</w:t>
            </w:r>
            <w:r>
              <w:rPr>
                <w:rFonts w:hint="eastAsia" w:ascii="仿宋" w:hAnsi="仿宋" w:eastAsia="仿宋" w:cs="仿宋"/>
                <w:color w:val="auto"/>
                <w:kern w:val="0"/>
                <w:sz w:val="22"/>
                <w:szCs w:val="22"/>
                <w:highlight w:val="none"/>
                <w:lang w:eastAsia="zh-CN"/>
              </w:rPr>
              <w:t>；</w:t>
            </w:r>
          </w:p>
          <w:p>
            <w:pPr>
              <w:pStyle w:val="5"/>
              <w:widowControl/>
              <w:numPr>
                <w:ilvl w:val="0"/>
                <w:numId w:val="5"/>
              </w:numPr>
              <w:jc w:val="left"/>
              <w:rPr>
                <w:rFonts w:ascii="仿宋" w:hAnsi="仿宋" w:eastAsia="仿宋" w:cs="宋体"/>
                <w:color w:val="auto"/>
                <w:sz w:val="22"/>
                <w:szCs w:val="22"/>
                <w:highlight w:val="none"/>
              </w:rPr>
            </w:pPr>
            <w:r>
              <w:rPr>
                <w:rFonts w:hint="eastAsia" w:ascii="仿宋" w:hAnsi="仿宋" w:eastAsia="仿宋" w:cs="仿宋"/>
                <w:b w:val="0"/>
                <w:bCs w:val="0"/>
                <w:color w:val="auto"/>
                <w:kern w:val="0"/>
                <w:sz w:val="22"/>
                <w:szCs w:val="22"/>
                <w:highlight w:val="none"/>
              </w:rPr>
              <w:t>有效的资质等级证书</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color w:val="auto"/>
                <w:kern w:val="0"/>
                <w:sz w:val="22"/>
                <w:szCs w:val="22"/>
                <w:highlight w:val="none"/>
              </w:rPr>
              <w:t>建筑机电安装工程专业承包叁级或机电工程施工总承包叁级或电子与智能化工程专业承包叁级或输变电站工程专业承包叁级及以上资质</w:t>
            </w:r>
            <w:r>
              <w:rPr>
                <w:rFonts w:hint="eastAsia" w:ascii="仿宋" w:hAnsi="仿宋" w:eastAsia="仿宋" w:cs="仿宋"/>
                <w:color w:val="auto"/>
                <w:kern w:val="0"/>
                <w:sz w:val="22"/>
                <w:szCs w:val="22"/>
                <w:highlight w:val="none"/>
                <w:lang w:eastAsia="zh-CN"/>
              </w:rPr>
              <w:t>；</w:t>
            </w:r>
          </w:p>
          <w:p>
            <w:pPr>
              <w:pStyle w:val="5"/>
              <w:widowControl/>
              <w:numPr>
                <w:ilvl w:val="0"/>
                <w:numId w:val="5"/>
              </w:numPr>
              <w:jc w:val="left"/>
              <w:rPr>
                <w:rFonts w:ascii="仿宋" w:hAnsi="仿宋" w:eastAsia="仿宋" w:cs="宋体"/>
                <w:color w:val="auto"/>
                <w:sz w:val="22"/>
                <w:szCs w:val="22"/>
                <w:highlight w:val="none"/>
              </w:rPr>
            </w:pPr>
            <w:r>
              <w:rPr>
                <w:rFonts w:hint="eastAsia" w:ascii="仿宋" w:hAnsi="仿宋" w:eastAsia="仿宋" w:cs="仿宋"/>
                <w:b w:val="0"/>
                <w:bCs w:val="0"/>
                <w:color w:val="auto"/>
                <w:kern w:val="0"/>
                <w:sz w:val="22"/>
                <w:szCs w:val="22"/>
                <w:highlight w:val="none"/>
              </w:rPr>
              <w:t>备注</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color w:val="auto"/>
                <w:kern w:val="0"/>
                <w:sz w:val="22"/>
                <w:szCs w:val="22"/>
                <w:highlight w:val="none"/>
              </w:rPr>
              <w:t>不接受代理商及联合体投标</w:t>
            </w:r>
            <w:r>
              <w:rPr>
                <w:rFonts w:hint="eastAsia" w:ascii="仿宋" w:hAnsi="仿宋" w:eastAsia="仿宋" w:cs="仿宋"/>
                <w:color w:val="auto"/>
                <w:kern w:val="0"/>
                <w:sz w:val="22"/>
                <w:szCs w:val="22"/>
                <w:highlight w:val="none"/>
                <w:lang w:eastAsia="zh-CN"/>
              </w:rPr>
              <w:t>。</w:t>
            </w:r>
          </w:p>
        </w:tc>
        <w:tc>
          <w:tcPr>
            <w:tcW w:w="1316" w:type="dxa"/>
            <w:vAlign w:val="center"/>
          </w:tcPr>
          <w:p>
            <w:pPr>
              <w:pStyle w:val="5"/>
              <w:widowControl/>
              <w:jc w:val="center"/>
              <w:rPr>
                <w:rFonts w:hint="eastAsia" w:ascii="仿宋" w:hAnsi="仿宋" w:eastAsia="仿宋" w:cs="宋体"/>
                <w:color w:val="auto"/>
                <w:sz w:val="22"/>
                <w:szCs w:val="22"/>
                <w:highlight w:val="none"/>
                <w:lang w:val="en-US" w:eastAsia="zh-CN"/>
              </w:rPr>
            </w:pPr>
            <w:r>
              <w:rPr>
                <w:rFonts w:hint="eastAsia" w:ascii="仿宋" w:hAnsi="仿宋" w:eastAsia="仿宋" w:cs="宋体"/>
                <w:color w:val="auto"/>
                <w:sz w:val="22"/>
                <w:szCs w:val="22"/>
                <w:highlight w:val="none"/>
                <w:lang w:val="en-US" w:eastAsia="zh-CN"/>
              </w:rPr>
              <w:t>4</w:t>
            </w:r>
          </w:p>
        </w:tc>
      </w:tr>
    </w:tbl>
    <w:p>
      <w:pPr>
        <w:pStyle w:val="5"/>
        <w:rPr>
          <w:rFonts w:ascii="仿宋" w:hAnsi="仿宋" w:eastAsia="仿宋"/>
          <w:color w:val="auto"/>
          <w:sz w:val="22"/>
          <w:szCs w:val="22"/>
          <w:highlight w:val="none"/>
        </w:rPr>
      </w:pPr>
      <w:r>
        <w:rPr>
          <w:rFonts w:hint="eastAsia" w:ascii="仿宋" w:hAnsi="仿宋" w:eastAsia="仿宋"/>
          <w:color w:val="auto"/>
          <w:sz w:val="22"/>
          <w:szCs w:val="22"/>
          <w:highlight w:val="none"/>
        </w:rPr>
        <w:t>具体服务不局限于上述招标需求一览表，根据生产需求，甲方有权保证在中标标段内保持合同额基本一致情况下，对不同类型的工作进行调整。</w:t>
      </w:r>
    </w:p>
    <w:p>
      <w:pPr>
        <w:pStyle w:val="5"/>
        <w:rPr>
          <w:rFonts w:ascii="仿宋" w:hAnsi="仿宋" w:eastAsia="仿宋"/>
          <w:color w:val="auto"/>
          <w:sz w:val="22"/>
          <w:szCs w:val="22"/>
          <w:highlight w:val="none"/>
        </w:rPr>
      </w:pPr>
      <w:r>
        <w:rPr>
          <w:rFonts w:hint="eastAsia" w:ascii="仿宋" w:hAnsi="仿宋" w:eastAsia="仿宋"/>
          <w:color w:val="auto"/>
          <w:sz w:val="22"/>
          <w:szCs w:val="22"/>
          <w:highlight w:val="none"/>
        </w:rPr>
        <w:t>备注：</w:t>
      </w:r>
    </w:p>
    <w:p>
      <w:pPr>
        <w:pStyle w:val="5"/>
        <w:rPr>
          <w:rFonts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pStyle w:val="5"/>
        <w:tabs>
          <w:tab w:val="left" w:pos="625"/>
        </w:tabs>
        <w:rPr>
          <w:rFonts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bookmarkStart w:id="0" w:name="_GoBack"/>
      <w:bookmarkEnd w:id="0"/>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B38E2A"/>
    <w:multiLevelType w:val="singleLevel"/>
    <w:tmpl w:val="A7B38E2A"/>
    <w:lvl w:ilvl="0" w:tentative="0">
      <w:start w:val="1"/>
      <w:numFmt w:val="decimal"/>
      <w:lvlText w:val="%1."/>
      <w:lvlJc w:val="left"/>
      <w:pPr>
        <w:tabs>
          <w:tab w:val="left" w:pos="312"/>
        </w:tabs>
      </w:pPr>
    </w:lvl>
  </w:abstractNum>
  <w:abstractNum w:abstractNumId="1">
    <w:nsid w:val="FF31CF78"/>
    <w:multiLevelType w:val="singleLevel"/>
    <w:tmpl w:val="FF31CF78"/>
    <w:lvl w:ilvl="0" w:tentative="0">
      <w:start w:val="1"/>
      <w:numFmt w:val="decimal"/>
      <w:lvlText w:val="%1."/>
      <w:lvlJc w:val="left"/>
      <w:pPr>
        <w:tabs>
          <w:tab w:val="left" w:pos="312"/>
        </w:tabs>
      </w:pPr>
    </w:lvl>
  </w:abstractNum>
  <w:abstractNum w:abstractNumId="2">
    <w:nsid w:val="1D930B64"/>
    <w:multiLevelType w:val="singleLevel"/>
    <w:tmpl w:val="1D930B64"/>
    <w:lvl w:ilvl="0" w:tentative="0">
      <w:start w:val="1"/>
      <w:numFmt w:val="decimal"/>
      <w:lvlText w:val="%1."/>
      <w:lvlJc w:val="left"/>
      <w:pPr>
        <w:tabs>
          <w:tab w:val="left" w:pos="312"/>
        </w:tabs>
      </w:pPr>
    </w:lvl>
  </w:abstractNum>
  <w:abstractNum w:abstractNumId="3">
    <w:nsid w:val="546DCB8F"/>
    <w:multiLevelType w:val="singleLevel"/>
    <w:tmpl w:val="546DCB8F"/>
    <w:lvl w:ilvl="0" w:tentative="0">
      <w:start w:val="1"/>
      <w:numFmt w:val="decimal"/>
      <w:lvlText w:val="%1."/>
      <w:lvlJc w:val="left"/>
      <w:pPr>
        <w:tabs>
          <w:tab w:val="left" w:pos="312"/>
        </w:tabs>
      </w:pPr>
    </w:lvl>
  </w:abstractNum>
  <w:abstractNum w:abstractNumId="4">
    <w:nsid w:val="6C89870D"/>
    <w:multiLevelType w:val="singleLevel"/>
    <w:tmpl w:val="6C89870D"/>
    <w:lvl w:ilvl="0" w:tentative="0">
      <w:start w:val="1"/>
      <w:numFmt w:val="decimal"/>
      <w:lvlText w:val="%1."/>
      <w:lvlJc w:val="left"/>
      <w:pPr>
        <w:tabs>
          <w:tab w:val="left" w:pos="312"/>
        </w:tabs>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640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Normal_1"/>
    <w:qFormat/>
    <w:uiPriority w:val="0"/>
    <w:pPr>
      <w:widowControl w:val="0"/>
      <w:jc w:val="both"/>
    </w:pPr>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2021-03-04T13:11:59Z</dcterms:created>
  <dc:creator>DELL</dc:creator>
  <cp:lastModifiedBy>北辰</cp:lastModifiedBy>
  <dcterms:modified xsi:type="dcterms:W3CDTF">2021-03-04T13:12:26Z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