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4"/>
        <w:tblW w:w="1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951"/>
        <w:gridCol w:w="4181"/>
        <w:gridCol w:w="720"/>
        <w:gridCol w:w="707"/>
        <w:gridCol w:w="1067"/>
        <w:gridCol w:w="1135"/>
        <w:gridCol w:w="176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31"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lang w:val="en-US" w:eastAsia="zh-CN"/>
              </w:rPr>
              <w:t>项目</w:t>
            </w:r>
            <w:r>
              <w:rPr>
                <w:rFonts w:hint="eastAsia" w:ascii="仿宋" w:hAnsi="仿宋" w:eastAsia="仿宋" w:cs="Arial"/>
                <w:b/>
                <w:bCs/>
                <w:color w:val="auto"/>
                <w:sz w:val="22"/>
                <w:szCs w:val="22"/>
                <w:highlight w:val="none"/>
              </w:rPr>
              <w:t>名称</w:t>
            </w:r>
          </w:p>
        </w:tc>
        <w:tc>
          <w:tcPr>
            <w:tcW w:w="2951" w:type="dxa"/>
            <w:shd w:val="clear" w:color="auto" w:fill="auto"/>
            <w:vAlign w:val="center"/>
          </w:tcPr>
          <w:p>
            <w:pPr>
              <w:pStyle w:val="6"/>
              <w:widowControl/>
              <w:jc w:val="center"/>
              <w:rPr>
                <w:rFonts w:hint="default"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服务类别</w:t>
            </w:r>
          </w:p>
        </w:tc>
        <w:tc>
          <w:tcPr>
            <w:tcW w:w="4181"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服务内容</w:t>
            </w:r>
          </w:p>
        </w:tc>
        <w:tc>
          <w:tcPr>
            <w:tcW w:w="720"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数量</w:t>
            </w:r>
          </w:p>
        </w:tc>
        <w:tc>
          <w:tcPr>
            <w:tcW w:w="707"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单位</w:t>
            </w:r>
          </w:p>
        </w:tc>
        <w:tc>
          <w:tcPr>
            <w:tcW w:w="1067"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服务期</w:t>
            </w:r>
          </w:p>
        </w:tc>
        <w:tc>
          <w:tcPr>
            <w:tcW w:w="1135" w:type="dxa"/>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专用资质要求</w:t>
            </w:r>
          </w:p>
        </w:tc>
        <w:tc>
          <w:tcPr>
            <w:tcW w:w="1767"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w:t>
            </w:r>
            <w:r>
              <w:rPr>
                <w:rFonts w:hint="eastAsia" w:ascii="仿宋" w:hAnsi="仿宋" w:eastAsia="仿宋" w:cs="Arial"/>
                <w:b/>
                <w:bCs/>
                <w:color w:val="auto"/>
                <w:sz w:val="22"/>
                <w:szCs w:val="22"/>
                <w:highlight w:val="none"/>
                <w:lang w:val="en-US" w:eastAsia="zh-CN"/>
              </w:rPr>
              <w:t>业绩</w:t>
            </w:r>
            <w:r>
              <w:rPr>
                <w:rFonts w:hint="eastAsia" w:ascii="仿宋" w:hAnsi="仿宋" w:eastAsia="仿宋" w:cs="Arial"/>
                <w:b/>
                <w:bCs/>
                <w:color w:val="auto"/>
                <w:sz w:val="22"/>
                <w:szCs w:val="22"/>
                <w:highlight w:val="none"/>
              </w:rPr>
              <w:t>要求</w:t>
            </w:r>
          </w:p>
        </w:tc>
        <w:tc>
          <w:tcPr>
            <w:tcW w:w="1237"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431" w:type="dxa"/>
            <w:vMerge w:val="restart"/>
            <w:shd w:val="clear" w:color="auto" w:fill="auto"/>
            <w:vAlign w:val="center"/>
          </w:tcPr>
          <w:p>
            <w:pPr>
              <w:jc w:val="both"/>
              <w:rPr>
                <w:rFonts w:ascii="仿宋" w:hAnsi="仿宋" w:eastAsia="仿宋" w:cs="Arial"/>
                <w:color w:val="auto"/>
                <w:sz w:val="22"/>
                <w:szCs w:val="22"/>
                <w:highlight w:val="none"/>
              </w:rPr>
            </w:pPr>
            <w:r>
              <w:rPr>
                <w:rFonts w:hint="eastAsia" w:ascii="仿宋" w:hAnsi="仿宋" w:eastAsia="仿宋" w:cs="仿宋"/>
                <w:color w:val="auto"/>
                <w:sz w:val="22"/>
                <w:szCs w:val="22"/>
                <w:highlight w:val="none"/>
              </w:rPr>
              <w:t>配套物料辅助调试及校对服务项目</w:t>
            </w:r>
          </w:p>
        </w:tc>
        <w:tc>
          <w:tcPr>
            <w:tcW w:w="2951" w:type="dxa"/>
            <w:shd w:val="clear" w:color="auto" w:fill="auto"/>
            <w:vAlign w:val="center"/>
          </w:tcPr>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配套物料辅助调试及校对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材料类）</w:t>
            </w:r>
          </w:p>
        </w:tc>
        <w:tc>
          <w:tcPr>
            <w:tcW w:w="4181" w:type="dxa"/>
            <w:shd w:val="clear" w:color="auto" w:fill="auto"/>
            <w:vAlign w:val="center"/>
          </w:tcPr>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1．配套物料辅助调试环境搭建；</w:t>
            </w:r>
          </w:p>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2.根据甲方要求对入库数量清点、流转搬运和校对；</w:t>
            </w:r>
          </w:p>
          <w:p>
            <w:pPr>
              <w:jc w:val="left"/>
              <w:rPr>
                <w:rFonts w:ascii="仿宋" w:hAnsi="仿宋" w:eastAsia="仿宋" w:cs="Arial"/>
                <w:color w:val="auto"/>
                <w:sz w:val="22"/>
                <w:szCs w:val="22"/>
                <w:highlight w:val="none"/>
              </w:rPr>
            </w:pPr>
            <w:r>
              <w:rPr>
                <w:rFonts w:hint="eastAsia" w:ascii="仿宋" w:hAnsi="仿宋" w:eastAsia="仿宋" w:cs="仿宋"/>
                <w:color w:val="auto"/>
                <w:sz w:val="22"/>
                <w:szCs w:val="22"/>
                <w:highlight w:val="none"/>
              </w:rPr>
              <w:t>3．根据要求对产品配套物料辅助调试验证，记录调试结果。</w:t>
            </w:r>
          </w:p>
        </w:tc>
        <w:tc>
          <w:tcPr>
            <w:tcW w:w="720" w:type="dxa"/>
            <w:shd w:val="clear" w:color="000000" w:fill="FFFFFF"/>
            <w:vAlign w:val="center"/>
          </w:tcPr>
          <w:p>
            <w:pPr>
              <w:keepNext w:val="0"/>
              <w:keepLines w:val="0"/>
              <w:widowControl/>
              <w:suppressLineNumbers w:val="0"/>
              <w:jc w:val="center"/>
              <w:textAlignment w:val="center"/>
              <w:rPr>
                <w:rFonts w:ascii="仿宋" w:hAnsi="仿宋" w:eastAsia="仿宋" w:cs="Arial"/>
                <w:color w:val="auto"/>
                <w:sz w:val="22"/>
                <w:szCs w:val="22"/>
                <w:highlight w:val="none"/>
              </w:rPr>
            </w:pPr>
            <w:r>
              <w:rPr>
                <w:rFonts w:hint="eastAsia" w:ascii="仿宋" w:hAnsi="仿宋" w:eastAsia="仿宋" w:cs="仿宋"/>
                <w:i w:val="0"/>
                <w:color w:val="auto"/>
                <w:kern w:val="0"/>
                <w:sz w:val="22"/>
                <w:szCs w:val="22"/>
                <w:highlight w:val="none"/>
                <w:u w:val="none"/>
                <w:lang w:val="en-US" w:eastAsia="zh-CN" w:bidi="ar"/>
              </w:rPr>
              <w:t>8000</w:t>
            </w:r>
          </w:p>
        </w:tc>
        <w:tc>
          <w:tcPr>
            <w:tcW w:w="707" w:type="dxa"/>
            <w:shd w:val="clear" w:color="000000" w:fill="FFFFFF"/>
            <w:vAlign w:val="center"/>
          </w:tcPr>
          <w:p>
            <w:pPr>
              <w:ind w:firstLine="220" w:firstLineChars="100"/>
              <w:jc w:val="both"/>
              <w:rPr>
                <w:rFonts w:ascii="仿宋" w:hAnsi="仿宋" w:eastAsia="仿宋" w:cs="Arial"/>
                <w:color w:val="auto"/>
                <w:sz w:val="22"/>
                <w:szCs w:val="22"/>
                <w:highlight w:val="none"/>
              </w:rPr>
            </w:pPr>
            <w:r>
              <w:rPr>
                <w:rFonts w:hint="eastAsia" w:ascii="仿宋" w:hAnsi="仿宋" w:eastAsia="仿宋" w:cs="仿宋"/>
                <w:color w:val="auto"/>
                <w:sz w:val="22"/>
                <w:szCs w:val="22"/>
                <w:highlight w:val="none"/>
                <w:lang w:val="en-US" w:eastAsia="zh-CN"/>
              </w:rPr>
              <w:t>批</w:t>
            </w:r>
          </w:p>
        </w:tc>
        <w:tc>
          <w:tcPr>
            <w:tcW w:w="1067" w:type="dxa"/>
            <w:shd w:val="clear" w:color="auto" w:fill="auto"/>
            <w:vAlign w:val="center"/>
          </w:tcPr>
          <w:p>
            <w:pPr>
              <w:ind w:firstLine="420" w:firstLineChars="0"/>
              <w:jc w:val="both"/>
              <w:rPr>
                <w:rFonts w:ascii="仿宋" w:hAnsi="仿宋" w:eastAsia="仿宋" w:cs="Arial"/>
                <w:color w:val="auto"/>
                <w:sz w:val="22"/>
                <w:szCs w:val="22"/>
                <w:highlight w:val="none"/>
              </w:rPr>
            </w:pPr>
            <w:r>
              <w:rPr>
                <w:rFonts w:hint="eastAsia" w:ascii="仿宋" w:hAnsi="仿宋" w:eastAsia="仿宋" w:cs="仿宋"/>
                <w:color w:val="auto"/>
                <w:sz w:val="22"/>
                <w:szCs w:val="22"/>
                <w:highlight w:val="none"/>
                <w:lang w:val="en-US" w:eastAsia="zh-CN"/>
              </w:rPr>
              <w:t>1年</w:t>
            </w:r>
          </w:p>
        </w:tc>
        <w:tc>
          <w:tcPr>
            <w:tcW w:w="1135" w:type="dxa"/>
            <w:vMerge w:val="restart"/>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b w:val="0"/>
                <w:bCs w:val="0"/>
                <w:color w:val="auto"/>
                <w:kern w:val="2"/>
                <w:sz w:val="22"/>
                <w:szCs w:val="22"/>
                <w:highlight w:val="none"/>
              </w:rPr>
              <w:t>厂商要求</w:t>
            </w:r>
            <w:r>
              <w:rPr>
                <w:rFonts w:hint="eastAsia" w:ascii="仿宋" w:hAnsi="仿宋" w:eastAsia="仿宋" w:cs="仿宋"/>
                <w:b w:val="0"/>
                <w:bCs w:val="0"/>
                <w:color w:val="auto"/>
                <w:kern w:val="2"/>
                <w:sz w:val="22"/>
                <w:szCs w:val="22"/>
                <w:highlight w:val="none"/>
                <w:lang w:eastAsia="zh-CN"/>
              </w:rPr>
              <w:t>：</w:t>
            </w:r>
            <w:r>
              <w:rPr>
                <w:rFonts w:hint="eastAsia" w:ascii="仿宋" w:hAnsi="仿宋" w:eastAsia="仿宋" w:cs="仿宋"/>
                <w:color w:val="auto"/>
                <w:kern w:val="2"/>
                <w:sz w:val="22"/>
                <w:szCs w:val="22"/>
                <w:highlight w:val="none"/>
              </w:rPr>
              <w:t>应答人应具有独立订立合同的法人资格</w:t>
            </w:r>
            <w:r>
              <w:rPr>
                <w:rFonts w:hint="eastAsia" w:ascii="仿宋" w:hAnsi="仿宋" w:eastAsia="仿宋" w:cs="仿宋"/>
                <w:color w:val="auto"/>
                <w:kern w:val="2"/>
                <w:sz w:val="22"/>
                <w:szCs w:val="22"/>
                <w:highlight w:val="none"/>
                <w:lang w:eastAsia="zh-CN"/>
              </w:rPr>
              <w:t>；</w:t>
            </w:r>
          </w:p>
        </w:tc>
        <w:tc>
          <w:tcPr>
            <w:tcW w:w="1767" w:type="dxa"/>
            <w:vMerge w:val="restart"/>
            <w:vAlign w:val="center"/>
          </w:tcPr>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kern w:val="2"/>
                <w:sz w:val="22"/>
                <w:szCs w:val="22"/>
                <w:highlight w:val="none"/>
              </w:rPr>
              <w:t>完成过与招标项目相类似的同等或以上技术要求的项目</w:t>
            </w:r>
            <w:r>
              <w:rPr>
                <w:rFonts w:hint="eastAsia" w:ascii="仿宋" w:hAnsi="仿宋" w:eastAsia="仿宋" w:cs="仿宋"/>
                <w:b w:val="0"/>
                <w:bCs w:val="0"/>
                <w:color w:val="auto"/>
                <w:kern w:val="2"/>
                <w:sz w:val="22"/>
                <w:szCs w:val="22"/>
                <w:highlight w:val="none"/>
                <w:lang w:eastAsia="zh-CN"/>
              </w:rPr>
              <w:t>：</w:t>
            </w:r>
            <w:r>
              <w:rPr>
                <w:rFonts w:hint="eastAsia" w:ascii="仿宋" w:hAnsi="仿宋" w:eastAsia="仿宋" w:cs="仿宋"/>
                <w:color w:val="auto"/>
                <w:kern w:val="0"/>
                <w:sz w:val="22"/>
                <w:szCs w:val="22"/>
                <w:highlight w:val="none"/>
              </w:rPr>
              <w:t>201</w:t>
            </w:r>
            <w:r>
              <w:rPr>
                <w:rFonts w:hint="eastAsia" w:ascii="仿宋" w:hAnsi="仿宋" w:eastAsia="仿宋" w:cs="仿宋"/>
                <w:color w:val="auto"/>
                <w:kern w:val="2"/>
                <w:sz w:val="22"/>
                <w:szCs w:val="22"/>
                <w:highlight w:val="none"/>
                <w:lang w:val="en-US" w:eastAsia="zh-CN"/>
              </w:rPr>
              <w:t>8</w:t>
            </w:r>
            <w:r>
              <w:rPr>
                <w:rFonts w:hint="eastAsia" w:ascii="仿宋" w:hAnsi="仿宋" w:eastAsia="仿宋" w:cs="仿宋"/>
                <w:color w:val="auto"/>
                <w:kern w:val="0"/>
                <w:sz w:val="22"/>
                <w:szCs w:val="22"/>
                <w:highlight w:val="none"/>
              </w:rPr>
              <w:t>年1月1日至投标截止日内完成过与招标项目相类似的同等或以上技术要求的项目</w:t>
            </w:r>
            <w:r>
              <w:rPr>
                <w:rFonts w:hint="eastAsia" w:ascii="仿宋" w:hAnsi="仿宋" w:eastAsia="仿宋" w:cs="仿宋"/>
                <w:color w:val="auto"/>
                <w:kern w:val="2"/>
                <w:sz w:val="22"/>
                <w:szCs w:val="22"/>
                <w:highlight w:val="none"/>
                <w:lang w:eastAsia="zh-CN"/>
              </w:rPr>
              <w:t>不少于</w:t>
            </w:r>
            <w:r>
              <w:rPr>
                <w:rFonts w:hint="eastAsia" w:ascii="仿宋" w:hAnsi="仿宋" w:eastAsia="仿宋" w:cs="仿宋"/>
                <w:color w:val="auto"/>
                <w:kern w:val="2"/>
                <w:sz w:val="22"/>
                <w:szCs w:val="22"/>
                <w:highlight w:val="none"/>
                <w:lang w:val="en-US" w:eastAsia="zh-CN"/>
              </w:rPr>
              <w:t>3份，累计</w:t>
            </w:r>
            <w:r>
              <w:rPr>
                <w:rFonts w:hint="eastAsia" w:ascii="仿宋" w:hAnsi="仿宋" w:eastAsia="仿宋" w:cs="仿宋"/>
                <w:color w:val="auto"/>
                <w:kern w:val="0"/>
                <w:sz w:val="22"/>
                <w:szCs w:val="22"/>
                <w:highlight w:val="none"/>
              </w:rPr>
              <w:t>合同额不低于</w:t>
            </w:r>
            <w:r>
              <w:rPr>
                <w:rFonts w:hint="eastAsia" w:ascii="仿宋" w:hAnsi="仿宋" w:eastAsia="仿宋" w:cs="仿宋"/>
                <w:color w:val="auto"/>
                <w:kern w:val="2"/>
                <w:sz w:val="22"/>
                <w:szCs w:val="22"/>
                <w:highlight w:val="none"/>
                <w:lang w:val="en-US" w:eastAsia="zh-CN"/>
              </w:rPr>
              <w:t>150</w:t>
            </w:r>
            <w:r>
              <w:rPr>
                <w:rFonts w:hint="eastAsia" w:ascii="仿宋" w:hAnsi="仿宋" w:eastAsia="仿宋" w:cs="仿宋"/>
                <w:color w:val="auto"/>
                <w:kern w:val="0"/>
                <w:sz w:val="22"/>
                <w:szCs w:val="22"/>
                <w:highlight w:val="none"/>
              </w:rPr>
              <w:t>万。注：业绩必须提供对应的合同复印件</w:t>
            </w:r>
            <w:r>
              <w:rPr>
                <w:rFonts w:hint="eastAsia" w:ascii="仿宋" w:hAnsi="仿宋" w:eastAsia="仿宋" w:cs="仿宋"/>
                <w:color w:val="auto"/>
                <w:kern w:val="2"/>
                <w:sz w:val="22"/>
                <w:szCs w:val="22"/>
                <w:highlight w:val="none"/>
                <w:lang w:eastAsia="zh-CN"/>
              </w:rPr>
              <w:t>；</w:t>
            </w:r>
          </w:p>
        </w:tc>
        <w:tc>
          <w:tcPr>
            <w:tcW w:w="1237" w:type="dxa"/>
            <w:vMerge w:val="restart"/>
            <w:vAlign w:val="center"/>
          </w:tcPr>
          <w:p>
            <w:pPr>
              <w:pStyle w:val="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431" w:type="dxa"/>
            <w:vMerge w:val="continue"/>
            <w:shd w:val="clear" w:color="auto" w:fill="auto"/>
            <w:vAlign w:val="center"/>
          </w:tcPr>
          <w:p>
            <w:pPr>
              <w:jc w:val="both"/>
              <w:rPr>
                <w:rFonts w:hint="eastAsia" w:ascii="仿宋" w:hAnsi="仿宋" w:eastAsia="仿宋" w:cs="仿宋"/>
                <w:color w:val="auto"/>
                <w:kern w:val="0"/>
                <w:sz w:val="22"/>
                <w:szCs w:val="22"/>
                <w:highlight w:val="none"/>
              </w:rPr>
            </w:pPr>
          </w:p>
        </w:tc>
        <w:tc>
          <w:tcPr>
            <w:tcW w:w="2951" w:type="dxa"/>
            <w:shd w:val="clear" w:color="auto" w:fill="auto"/>
            <w:vAlign w:val="center"/>
          </w:tcPr>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配套物料辅助调试及校对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组件类）</w:t>
            </w:r>
          </w:p>
        </w:tc>
        <w:tc>
          <w:tcPr>
            <w:tcW w:w="4181" w:type="dxa"/>
            <w:shd w:val="clear" w:color="auto" w:fill="auto"/>
            <w:vAlign w:val="center"/>
          </w:tcPr>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1．配套物料辅助调试环境搭建；</w:t>
            </w:r>
          </w:p>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2.根据甲方要求对入库数量清点、流转搬运和校对；</w:t>
            </w:r>
          </w:p>
          <w:p>
            <w:pPr>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3．根据要求对产品配套物料辅助调试验证，记录调试结果。</w:t>
            </w:r>
          </w:p>
        </w:tc>
        <w:tc>
          <w:tcPr>
            <w:tcW w:w="720" w:type="dxa"/>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1000</w:t>
            </w:r>
          </w:p>
        </w:tc>
        <w:tc>
          <w:tcPr>
            <w:tcW w:w="707" w:type="dxa"/>
            <w:shd w:val="clear" w:color="000000" w:fill="FFFFFF"/>
            <w:vAlign w:val="center"/>
          </w:tcPr>
          <w:p>
            <w:pPr>
              <w:ind w:firstLine="220" w:firstLineChars="10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套</w:t>
            </w:r>
          </w:p>
        </w:tc>
        <w:tc>
          <w:tcPr>
            <w:tcW w:w="1067" w:type="dxa"/>
            <w:shd w:val="clear" w:color="auto" w:fill="auto"/>
            <w:vAlign w:val="center"/>
          </w:tcPr>
          <w:p>
            <w:pPr>
              <w:ind w:firstLine="420" w:firstLineChars="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1年</w:t>
            </w:r>
          </w:p>
        </w:tc>
        <w:tc>
          <w:tcPr>
            <w:tcW w:w="1135" w:type="dxa"/>
            <w:vMerge w:val="continue"/>
            <w:vAlign w:val="center"/>
          </w:tcPr>
          <w:p>
            <w:pPr>
              <w:pStyle w:val="6"/>
              <w:widowControl/>
              <w:numPr>
                <w:ilvl w:val="-1"/>
                <w:numId w:val="0"/>
              </w:numPr>
              <w:jc w:val="left"/>
              <w:rPr>
                <w:rFonts w:hint="eastAsia" w:ascii="仿宋" w:hAnsi="仿宋" w:eastAsia="仿宋" w:cs="宋体"/>
                <w:color w:val="auto"/>
                <w:sz w:val="22"/>
                <w:szCs w:val="22"/>
                <w:highlight w:val="none"/>
                <w:lang w:eastAsia="zh-CN"/>
              </w:rPr>
            </w:pPr>
          </w:p>
        </w:tc>
        <w:tc>
          <w:tcPr>
            <w:tcW w:w="176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c>
          <w:tcPr>
            <w:tcW w:w="123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31" w:type="dxa"/>
            <w:vMerge w:val="continue"/>
            <w:shd w:val="clear" w:color="auto" w:fill="auto"/>
            <w:vAlign w:val="center"/>
          </w:tcPr>
          <w:p>
            <w:pPr>
              <w:jc w:val="both"/>
              <w:rPr>
                <w:rFonts w:hint="eastAsia" w:ascii="仿宋" w:hAnsi="仿宋" w:eastAsia="仿宋" w:cs="仿宋"/>
                <w:color w:val="auto"/>
                <w:kern w:val="0"/>
                <w:sz w:val="22"/>
                <w:szCs w:val="22"/>
                <w:highlight w:val="none"/>
              </w:rPr>
            </w:pPr>
          </w:p>
        </w:tc>
        <w:tc>
          <w:tcPr>
            <w:tcW w:w="2951" w:type="dxa"/>
            <w:shd w:val="clear" w:color="auto" w:fill="auto"/>
            <w:vAlign w:val="center"/>
          </w:tcPr>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配套物料辅助调试及校对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上位机类）</w:t>
            </w:r>
          </w:p>
        </w:tc>
        <w:tc>
          <w:tcPr>
            <w:tcW w:w="4181" w:type="dxa"/>
            <w:shd w:val="clear" w:color="auto" w:fill="auto"/>
            <w:vAlign w:val="center"/>
          </w:tcPr>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1．配套物料辅助调试环境搭建；</w:t>
            </w:r>
          </w:p>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2.根据甲方要求对入库数量清点、流转搬运和校对；</w:t>
            </w:r>
          </w:p>
          <w:p>
            <w:pPr>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3．根据要求对产品配套物料辅助调试验证，记录调试结果。</w:t>
            </w:r>
          </w:p>
        </w:tc>
        <w:tc>
          <w:tcPr>
            <w:tcW w:w="720" w:type="dxa"/>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600</w:t>
            </w:r>
          </w:p>
        </w:tc>
        <w:tc>
          <w:tcPr>
            <w:tcW w:w="707" w:type="dxa"/>
            <w:shd w:val="clear" w:color="000000" w:fill="FFFFFF"/>
            <w:vAlign w:val="center"/>
          </w:tcPr>
          <w:p>
            <w:pPr>
              <w:ind w:firstLine="220" w:firstLineChars="10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套</w:t>
            </w:r>
          </w:p>
        </w:tc>
        <w:tc>
          <w:tcPr>
            <w:tcW w:w="1067" w:type="dxa"/>
            <w:shd w:val="clear" w:color="auto" w:fill="auto"/>
            <w:vAlign w:val="center"/>
          </w:tcPr>
          <w:p>
            <w:pPr>
              <w:ind w:firstLine="420" w:firstLineChars="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1年</w:t>
            </w:r>
          </w:p>
        </w:tc>
        <w:tc>
          <w:tcPr>
            <w:tcW w:w="1135" w:type="dxa"/>
            <w:vMerge w:val="continue"/>
            <w:vAlign w:val="center"/>
          </w:tcPr>
          <w:p>
            <w:pPr>
              <w:pStyle w:val="6"/>
              <w:widowControl/>
              <w:numPr>
                <w:ilvl w:val="-1"/>
                <w:numId w:val="0"/>
              </w:numPr>
              <w:jc w:val="left"/>
              <w:rPr>
                <w:rFonts w:hint="eastAsia" w:ascii="仿宋" w:hAnsi="仿宋" w:eastAsia="仿宋" w:cs="宋体"/>
                <w:color w:val="auto"/>
                <w:sz w:val="22"/>
                <w:szCs w:val="22"/>
                <w:highlight w:val="none"/>
                <w:lang w:eastAsia="zh-CN"/>
              </w:rPr>
            </w:pPr>
          </w:p>
        </w:tc>
        <w:tc>
          <w:tcPr>
            <w:tcW w:w="176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c>
          <w:tcPr>
            <w:tcW w:w="123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431" w:type="dxa"/>
            <w:vMerge w:val="continue"/>
            <w:shd w:val="clear" w:color="auto" w:fill="auto"/>
            <w:vAlign w:val="center"/>
          </w:tcPr>
          <w:p>
            <w:pPr>
              <w:ind w:firstLine="420" w:firstLineChars="0"/>
              <w:jc w:val="center"/>
              <w:rPr>
                <w:rFonts w:hint="eastAsia" w:ascii="仿宋" w:hAnsi="仿宋" w:eastAsia="仿宋" w:cs="仿宋"/>
                <w:color w:val="auto"/>
                <w:kern w:val="0"/>
                <w:sz w:val="22"/>
                <w:szCs w:val="22"/>
                <w:highlight w:val="none"/>
              </w:rPr>
            </w:pPr>
          </w:p>
        </w:tc>
        <w:tc>
          <w:tcPr>
            <w:tcW w:w="2951" w:type="dxa"/>
            <w:shd w:val="clear" w:color="auto" w:fill="auto"/>
            <w:vAlign w:val="center"/>
          </w:tcPr>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配套物料辅助调试及校对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箱体类）</w:t>
            </w:r>
          </w:p>
        </w:tc>
        <w:tc>
          <w:tcPr>
            <w:tcW w:w="4181" w:type="dxa"/>
            <w:shd w:val="clear" w:color="auto" w:fill="auto"/>
            <w:vAlign w:val="center"/>
          </w:tcPr>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1．配套物料辅助调试环境搭建；</w:t>
            </w:r>
          </w:p>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2.根据甲方要求对入库数量清点、流转搬运和校对；</w:t>
            </w:r>
          </w:p>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3．根据要求对产品配套物料辅助调试验证，记录调试结果。</w:t>
            </w:r>
          </w:p>
        </w:tc>
        <w:tc>
          <w:tcPr>
            <w:tcW w:w="720" w:type="dxa"/>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900</w:t>
            </w:r>
          </w:p>
        </w:tc>
        <w:tc>
          <w:tcPr>
            <w:tcW w:w="707" w:type="dxa"/>
            <w:shd w:val="clear" w:color="000000" w:fill="FFFFFF"/>
            <w:vAlign w:val="center"/>
          </w:tcPr>
          <w:p>
            <w:pPr>
              <w:ind w:firstLine="220" w:firstLineChars="10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套</w:t>
            </w:r>
          </w:p>
        </w:tc>
        <w:tc>
          <w:tcPr>
            <w:tcW w:w="1067" w:type="dxa"/>
            <w:shd w:val="clear" w:color="auto" w:fill="auto"/>
            <w:vAlign w:val="center"/>
          </w:tcPr>
          <w:p>
            <w:pPr>
              <w:ind w:firstLine="420" w:firstLineChars="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1年</w:t>
            </w:r>
          </w:p>
        </w:tc>
        <w:tc>
          <w:tcPr>
            <w:tcW w:w="1135" w:type="dxa"/>
            <w:vMerge w:val="continue"/>
            <w:vAlign w:val="center"/>
          </w:tcPr>
          <w:p>
            <w:pPr>
              <w:pStyle w:val="6"/>
              <w:widowControl/>
              <w:numPr>
                <w:ilvl w:val="-1"/>
                <w:numId w:val="0"/>
              </w:numPr>
              <w:jc w:val="left"/>
              <w:rPr>
                <w:rFonts w:hint="eastAsia" w:ascii="仿宋" w:hAnsi="仿宋" w:eastAsia="仿宋" w:cs="宋体"/>
                <w:color w:val="auto"/>
                <w:sz w:val="22"/>
                <w:szCs w:val="22"/>
                <w:highlight w:val="none"/>
                <w:lang w:eastAsia="zh-CN"/>
              </w:rPr>
            </w:pPr>
          </w:p>
        </w:tc>
        <w:tc>
          <w:tcPr>
            <w:tcW w:w="176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c>
          <w:tcPr>
            <w:tcW w:w="123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431" w:type="dxa"/>
            <w:vMerge w:val="continue"/>
            <w:shd w:val="clear" w:color="auto" w:fill="auto"/>
            <w:vAlign w:val="center"/>
          </w:tcPr>
          <w:p>
            <w:pPr>
              <w:ind w:firstLine="420" w:firstLineChars="0"/>
              <w:jc w:val="center"/>
              <w:rPr>
                <w:rFonts w:hint="eastAsia" w:ascii="仿宋" w:hAnsi="仿宋" w:eastAsia="仿宋" w:cs="仿宋"/>
                <w:color w:val="auto"/>
                <w:kern w:val="0"/>
                <w:sz w:val="22"/>
                <w:szCs w:val="22"/>
                <w:highlight w:val="none"/>
              </w:rPr>
            </w:pPr>
          </w:p>
        </w:tc>
        <w:tc>
          <w:tcPr>
            <w:tcW w:w="2951" w:type="dxa"/>
            <w:shd w:val="clear" w:color="auto" w:fill="auto"/>
            <w:vAlign w:val="center"/>
          </w:tcPr>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配套物料辅助调试及校对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机器人类）</w:t>
            </w:r>
          </w:p>
        </w:tc>
        <w:tc>
          <w:tcPr>
            <w:tcW w:w="4181" w:type="dxa"/>
            <w:shd w:val="clear" w:color="auto" w:fill="auto"/>
            <w:vAlign w:val="center"/>
          </w:tcPr>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1．配套物料辅助调试环境搭建；</w:t>
            </w:r>
          </w:p>
          <w:p>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2.根据甲方要求对入库数量清点、流转搬运和校对；</w:t>
            </w:r>
          </w:p>
          <w:p>
            <w:pPr>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3．根据要求对产品配套物料辅助调试验证，记录调试结果。</w:t>
            </w:r>
          </w:p>
        </w:tc>
        <w:tc>
          <w:tcPr>
            <w:tcW w:w="720" w:type="dxa"/>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600</w:t>
            </w:r>
          </w:p>
        </w:tc>
        <w:tc>
          <w:tcPr>
            <w:tcW w:w="707" w:type="dxa"/>
            <w:shd w:val="clear" w:color="000000" w:fill="FFFFFF"/>
            <w:vAlign w:val="center"/>
          </w:tcPr>
          <w:p>
            <w:pPr>
              <w:ind w:firstLine="220" w:firstLineChars="10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套</w:t>
            </w:r>
          </w:p>
        </w:tc>
        <w:tc>
          <w:tcPr>
            <w:tcW w:w="1067" w:type="dxa"/>
            <w:shd w:val="clear" w:color="auto" w:fill="auto"/>
            <w:vAlign w:val="center"/>
          </w:tcPr>
          <w:p>
            <w:pPr>
              <w:ind w:firstLine="420" w:firstLineChars="0"/>
              <w:jc w:val="both"/>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1年</w:t>
            </w:r>
          </w:p>
        </w:tc>
        <w:tc>
          <w:tcPr>
            <w:tcW w:w="1135" w:type="dxa"/>
            <w:vMerge w:val="continue"/>
            <w:vAlign w:val="center"/>
          </w:tcPr>
          <w:p>
            <w:pPr>
              <w:pStyle w:val="6"/>
              <w:widowControl/>
              <w:numPr>
                <w:ilvl w:val="-1"/>
                <w:numId w:val="0"/>
              </w:numPr>
              <w:jc w:val="left"/>
              <w:rPr>
                <w:rFonts w:hint="eastAsia" w:ascii="仿宋" w:hAnsi="仿宋" w:eastAsia="仿宋" w:cs="宋体"/>
                <w:color w:val="auto"/>
                <w:sz w:val="22"/>
                <w:szCs w:val="22"/>
                <w:highlight w:val="none"/>
                <w:lang w:eastAsia="zh-CN"/>
              </w:rPr>
            </w:pPr>
          </w:p>
        </w:tc>
        <w:tc>
          <w:tcPr>
            <w:tcW w:w="176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c>
          <w:tcPr>
            <w:tcW w:w="1237" w:type="dxa"/>
            <w:vMerge w:val="continue"/>
            <w:vAlign w:val="center"/>
          </w:tcPr>
          <w:p>
            <w:pPr>
              <w:pStyle w:val="6"/>
              <w:widowControl/>
              <w:jc w:val="center"/>
              <w:rPr>
                <w:rFonts w:hint="default" w:ascii="仿宋" w:hAnsi="仿宋" w:eastAsia="仿宋" w:cs="宋体"/>
                <w:color w:val="auto"/>
                <w:sz w:val="22"/>
                <w:szCs w:val="22"/>
                <w:highlight w:val="none"/>
                <w:lang w:val="en-US" w:eastAsia="zh-CN"/>
              </w:rPr>
            </w:pPr>
          </w:p>
        </w:tc>
      </w:tr>
    </w:tbl>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具体服务不局限于上述招标需求一览表，根据生产需求，甲方有权保证在中标标段内保持合同额基本一致情况下，对不同类型的工作进行调整。</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6"/>
        <w:tabs>
          <w:tab w:val="left" w:pos="625"/>
        </w:tabs>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9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1"/>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2021-03-04T13:12:29Z</dcterms:created>
  <dc:creator>DELL</dc:creator>
  <cp:lastModifiedBy>北辰</cp:lastModifiedBy>
  <dcterms:modified xsi:type="dcterms:W3CDTF">2021-03-04T13:13:03Z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