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auto"/>
          <w:kern w:val="0"/>
          <w:szCs w:val="21"/>
          <w:highlight w:val="none"/>
        </w:rPr>
      </w:pPr>
      <w:r>
        <w:rPr>
          <w:rFonts w:hint="eastAsia" w:ascii="仿宋" w:hAnsi="仿宋" w:eastAsia="仿宋" w:cs="Arial"/>
          <w:b/>
          <w:bCs/>
          <w:color w:val="auto"/>
          <w:kern w:val="0"/>
          <w:szCs w:val="21"/>
          <w:highlight w:val="none"/>
        </w:rPr>
        <w:t>附件1   招标需求一览表</w:t>
      </w:r>
    </w:p>
    <w:tbl>
      <w:tblPr>
        <w:tblStyle w:val="4"/>
        <w:tblW w:w="12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314"/>
        <w:gridCol w:w="1708"/>
        <w:gridCol w:w="773"/>
        <w:gridCol w:w="894"/>
        <w:gridCol w:w="1826"/>
        <w:gridCol w:w="3906"/>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14"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lang w:val="en-US" w:eastAsia="zh-CN"/>
              </w:rPr>
              <w:t>项目</w:t>
            </w:r>
            <w:r>
              <w:rPr>
                <w:rFonts w:hint="eastAsia" w:ascii="仿宋" w:hAnsi="仿宋" w:eastAsia="仿宋" w:cs="Arial"/>
                <w:b/>
                <w:bCs/>
                <w:color w:val="auto"/>
                <w:sz w:val="22"/>
                <w:szCs w:val="22"/>
                <w:highlight w:val="none"/>
              </w:rPr>
              <w:t>名称</w:t>
            </w:r>
          </w:p>
        </w:tc>
        <w:tc>
          <w:tcPr>
            <w:tcW w:w="1314"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服务内容</w:t>
            </w:r>
          </w:p>
        </w:tc>
        <w:tc>
          <w:tcPr>
            <w:tcW w:w="1708" w:type="dxa"/>
            <w:shd w:val="clear" w:color="auto" w:fill="auto"/>
            <w:vAlign w:val="center"/>
          </w:tcPr>
          <w:p>
            <w:pPr>
              <w:pStyle w:val="6"/>
              <w:widowControl/>
              <w:jc w:val="center"/>
              <w:rPr>
                <w:rFonts w:hint="default"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服务范围</w:t>
            </w:r>
          </w:p>
        </w:tc>
        <w:tc>
          <w:tcPr>
            <w:tcW w:w="773" w:type="dxa"/>
            <w:shd w:val="clear" w:color="auto" w:fill="auto"/>
            <w:vAlign w:val="center"/>
          </w:tcPr>
          <w:p>
            <w:pPr>
              <w:pStyle w:val="6"/>
              <w:widowControl/>
              <w:jc w:val="center"/>
              <w:rPr>
                <w:rFonts w:hint="eastAsia"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数量</w:t>
            </w:r>
          </w:p>
        </w:tc>
        <w:tc>
          <w:tcPr>
            <w:tcW w:w="894"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lang w:val="en-US" w:eastAsia="zh-CN"/>
              </w:rPr>
              <w:t>单位</w:t>
            </w:r>
          </w:p>
        </w:tc>
        <w:tc>
          <w:tcPr>
            <w:tcW w:w="1826" w:type="dxa"/>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专用资质要求</w:t>
            </w:r>
          </w:p>
        </w:tc>
        <w:tc>
          <w:tcPr>
            <w:tcW w:w="3906" w:type="dxa"/>
            <w:vAlign w:val="center"/>
          </w:tcPr>
          <w:p>
            <w:pPr>
              <w:pStyle w:val="6"/>
              <w:widowControl/>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专用</w:t>
            </w:r>
            <w:r>
              <w:rPr>
                <w:rFonts w:hint="eastAsia" w:ascii="仿宋" w:hAnsi="仿宋" w:eastAsia="仿宋" w:cs="Arial"/>
                <w:b/>
                <w:bCs/>
                <w:color w:val="auto"/>
                <w:sz w:val="22"/>
                <w:szCs w:val="22"/>
                <w:highlight w:val="none"/>
                <w:lang w:val="en-US" w:eastAsia="zh-CN"/>
              </w:rPr>
              <w:t>业绩</w:t>
            </w:r>
            <w:r>
              <w:rPr>
                <w:rFonts w:hint="eastAsia" w:ascii="仿宋" w:hAnsi="仿宋" w:eastAsia="仿宋" w:cs="Arial"/>
                <w:b/>
                <w:bCs/>
                <w:color w:val="auto"/>
                <w:sz w:val="22"/>
                <w:szCs w:val="22"/>
                <w:highlight w:val="none"/>
              </w:rPr>
              <w:t>要求</w:t>
            </w:r>
          </w:p>
        </w:tc>
        <w:tc>
          <w:tcPr>
            <w:tcW w:w="1393" w:type="dxa"/>
            <w:vAlign w:val="center"/>
          </w:tcPr>
          <w:p>
            <w:pPr>
              <w:pStyle w:val="6"/>
              <w:widowControl/>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114" w:type="dxa"/>
            <w:vMerge w:val="restart"/>
            <w:shd w:val="clear" w:color="auto" w:fill="auto"/>
            <w:vAlign w:val="center"/>
          </w:tcPr>
          <w:p>
            <w:pPr>
              <w:keepNext w:val="0"/>
              <w:keepLines w:val="0"/>
              <w:pageBreakBefore w:val="0"/>
              <w:widowControl/>
              <w:kinsoku/>
              <w:wordWrap/>
              <w:overflowPunct/>
              <w:topLinePunct w:val="0"/>
              <w:autoSpaceDE/>
              <w:autoSpaceDN/>
              <w:bidi w:val="0"/>
              <w:spacing w:line="20" w:lineRule="atLeast"/>
              <w:jc w:val="center"/>
              <w:textAlignment w:val="center"/>
              <w:rPr>
                <w:rFonts w:hint="eastAsia" w:ascii="仿宋" w:hAnsi="仿宋" w:eastAsia="仿宋" w:cs="Arial"/>
                <w:color w:val="auto"/>
                <w:sz w:val="22"/>
                <w:szCs w:val="22"/>
                <w:highlight w:val="none"/>
                <w:lang w:eastAsia="zh-CN"/>
              </w:rPr>
            </w:pPr>
            <w:r>
              <w:rPr>
                <w:rFonts w:hint="eastAsia" w:ascii="仿宋" w:hAnsi="仿宋" w:eastAsia="仿宋" w:cs="仿宋"/>
                <w:color w:val="auto"/>
                <w:kern w:val="0"/>
                <w:sz w:val="22"/>
                <w:szCs w:val="22"/>
                <w:highlight w:val="none"/>
              </w:rPr>
              <w:t>在线智能巡视系统巡检运维服务项目</w:t>
            </w:r>
          </w:p>
        </w:tc>
        <w:tc>
          <w:tcPr>
            <w:tcW w:w="1314" w:type="dxa"/>
            <w:shd w:val="clear" w:color="auto" w:fill="auto"/>
            <w:vAlign w:val="center"/>
          </w:tcPr>
          <w:p>
            <w:pPr>
              <w:keepNext w:val="0"/>
              <w:keepLines w:val="0"/>
              <w:pageBreakBefore w:val="0"/>
              <w:widowControl/>
              <w:kinsoku/>
              <w:wordWrap/>
              <w:overflowPunct/>
              <w:topLinePunct w:val="0"/>
              <w:autoSpaceDE/>
              <w:autoSpaceDN/>
              <w:bidi w:val="0"/>
              <w:spacing w:line="20" w:lineRule="atLeast"/>
              <w:jc w:val="center"/>
              <w:textAlignment w:val="center"/>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按照招标技术要求，在A类地区范围内，提供到场运维技术服务</w:t>
            </w:r>
          </w:p>
        </w:tc>
        <w:tc>
          <w:tcPr>
            <w:tcW w:w="1708" w:type="dxa"/>
            <w:shd w:val="clear" w:color="000000" w:fill="FFFFFF"/>
            <w:vAlign w:val="center"/>
          </w:tcPr>
          <w:p>
            <w:pPr>
              <w:keepNext w:val="0"/>
              <w:keepLines w:val="0"/>
              <w:pageBreakBefore w:val="0"/>
              <w:widowControl/>
              <w:kinsoku/>
              <w:wordWrap/>
              <w:overflowPunct/>
              <w:topLinePunct w:val="0"/>
              <w:autoSpaceDE/>
              <w:autoSpaceDN/>
              <w:bidi w:val="0"/>
              <w:spacing w:line="20" w:lineRule="atLeast"/>
              <w:jc w:val="center"/>
              <w:textAlignment w:val="center"/>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北京、天津、上海、重庆、山东、江苏、福建、浙江、云南、广东、广西、贵州、海南、新疆、青海、甘肃、西藏、江西、四川</w:t>
            </w:r>
          </w:p>
        </w:tc>
        <w:tc>
          <w:tcPr>
            <w:tcW w:w="773" w:type="dxa"/>
            <w:shd w:val="clear" w:color="000000" w:fill="FFFFFF"/>
            <w:vAlign w:val="center"/>
          </w:tcPr>
          <w:p>
            <w:pPr>
              <w:keepNext w:val="0"/>
              <w:keepLines w:val="0"/>
              <w:pageBreakBefore w:val="0"/>
              <w:widowControl/>
              <w:kinsoku/>
              <w:wordWrap/>
              <w:overflowPunct/>
              <w:topLinePunct w:val="0"/>
              <w:autoSpaceDE/>
              <w:autoSpaceDN/>
              <w:bidi w:val="0"/>
              <w:spacing w:line="20" w:lineRule="atLeast"/>
              <w:jc w:val="center"/>
              <w:textAlignment w:val="center"/>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6</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0</w:t>
            </w:r>
          </w:p>
        </w:tc>
        <w:tc>
          <w:tcPr>
            <w:tcW w:w="894" w:type="dxa"/>
            <w:shd w:val="clear" w:color="auto" w:fill="auto"/>
            <w:vAlign w:val="center"/>
          </w:tcPr>
          <w:p>
            <w:pPr>
              <w:keepNext w:val="0"/>
              <w:keepLines w:val="0"/>
              <w:pageBreakBefore w:val="0"/>
              <w:widowControl/>
              <w:kinsoku/>
              <w:wordWrap/>
              <w:overflowPunct/>
              <w:topLinePunct w:val="0"/>
              <w:autoSpaceDE/>
              <w:autoSpaceDN/>
              <w:bidi w:val="0"/>
              <w:spacing w:line="20" w:lineRule="atLeast"/>
              <w:jc w:val="center"/>
              <w:textAlignment w:val="center"/>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次</w:t>
            </w:r>
          </w:p>
        </w:tc>
        <w:tc>
          <w:tcPr>
            <w:tcW w:w="1826" w:type="dxa"/>
            <w:vMerge w:val="restart"/>
            <w:vAlign w:val="center"/>
          </w:tcPr>
          <w:p>
            <w:pPr>
              <w:widowControl/>
              <w:numPr>
                <w:ilvl w:val="0"/>
                <w:numId w:val="1"/>
              </w:numPr>
              <w:jc w:val="left"/>
              <w:rPr>
                <w:rFonts w:hint="eastAsia" w:ascii="仿宋" w:hAnsi="仿宋" w:eastAsia="仿宋" w:cs="仿宋"/>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应答人应具有独立订立合同的法人资格</w:t>
            </w:r>
            <w:r>
              <w:rPr>
                <w:rFonts w:hint="eastAsia" w:ascii="仿宋" w:hAnsi="仿宋" w:eastAsia="仿宋" w:cs="仿宋"/>
                <w:color w:val="auto"/>
                <w:kern w:val="0"/>
                <w:sz w:val="22"/>
                <w:szCs w:val="22"/>
                <w:highlight w:val="none"/>
                <w:lang w:eastAsia="zh-CN"/>
              </w:rPr>
              <w:t>；</w:t>
            </w:r>
          </w:p>
          <w:p>
            <w:pPr>
              <w:widowControl/>
              <w:numPr>
                <w:ilvl w:val="-1"/>
                <w:numId w:val="0"/>
              </w:numPr>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备注</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不接受代理商及联合体投标</w:t>
            </w:r>
            <w:r>
              <w:rPr>
                <w:rFonts w:hint="eastAsia" w:ascii="仿宋" w:hAnsi="仿宋" w:eastAsia="仿宋" w:cs="仿宋"/>
                <w:color w:val="auto"/>
                <w:kern w:val="0"/>
                <w:sz w:val="22"/>
                <w:szCs w:val="22"/>
                <w:highlight w:val="none"/>
                <w:lang w:eastAsia="zh-CN"/>
              </w:rPr>
              <w:t>。</w:t>
            </w:r>
          </w:p>
        </w:tc>
        <w:tc>
          <w:tcPr>
            <w:tcW w:w="3906" w:type="dxa"/>
            <w:vMerge w:val="restart"/>
            <w:vAlign w:val="center"/>
          </w:tcPr>
          <w:p>
            <w:pPr>
              <w:widowControl/>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rPr>
              <w:t>完成过与招标项目相类似的同等或以上技术要求的项目</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2018年1月1日至投标截止日内完成过与招标项目相类似的同等或以上技术要求的项目不少于3份，累计合同额不低于</w:t>
            </w:r>
            <w:r>
              <w:rPr>
                <w:rFonts w:hint="eastAsia" w:ascii="仿宋" w:hAnsi="仿宋" w:eastAsia="仿宋" w:cs="仿宋"/>
                <w:color w:val="auto"/>
                <w:kern w:val="0"/>
                <w:sz w:val="22"/>
                <w:szCs w:val="22"/>
                <w:highlight w:val="none"/>
                <w:lang w:val="en-US" w:eastAsia="zh-CN"/>
              </w:rPr>
              <w:t>200</w:t>
            </w:r>
            <w:r>
              <w:rPr>
                <w:rFonts w:hint="eastAsia" w:ascii="仿宋" w:hAnsi="仿宋" w:eastAsia="仿宋" w:cs="仿宋"/>
                <w:color w:val="auto"/>
                <w:kern w:val="0"/>
                <w:sz w:val="22"/>
                <w:szCs w:val="22"/>
                <w:highlight w:val="none"/>
              </w:rPr>
              <w:t>万。注：业绩必须提供对应的合同复印件</w:t>
            </w:r>
            <w:r>
              <w:rPr>
                <w:rFonts w:hint="eastAsia" w:ascii="仿宋" w:hAnsi="仿宋" w:eastAsia="仿宋" w:cs="仿宋"/>
                <w:color w:val="auto"/>
                <w:kern w:val="0"/>
                <w:sz w:val="22"/>
                <w:szCs w:val="22"/>
                <w:highlight w:val="none"/>
                <w:lang w:eastAsia="zh-CN"/>
              </w:rPr>
              <w:t>。</w:t>
            </w:r>
          </w:p>
        </w:tc>
        <w:tc>
          <w:tcPr>
            <w:tcW w:w="1393" w:type="dxa"/>
            <w:vMerge w:val="restart"/>
            <w:vAlign w:val="center"/>
          </w:tcPr>
          <w:p>
            <w:pPr>
              <w:pStyle w:val="6"/>
              <w:widowControl/>
              <w:jc w:val="center"/>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114" w:type="dxa"/>
            <w:vMerge w:val="continue"/>
            <w:shd w:val="clear" w:color="auto" w:fill="auto"/>
            <w:vAlign w:val="center"/>
          </w:tcPr>
          <w:p>
            <w:pPr>
              <w:keepNext w:val="0"/>
              <w:keepLines w:val="0"/>
              <w:pageBreakBefore w:val="0"/>
              <w:widowControl/>
              <w:kinsoku/>
              <w:wordWrap/>
              <w:overflowPunct/>
              <w:topLinePunct w:val="0"/>
              <w:autoSpaceDE/>
              <w:autoSpaceDN/>
              <w:bidi w:val="0"/>
              <w:spacing w:line="20" w:lineRule="atLeast"/>
              <w:jc w:val="center"/>
              <w:textAlignment w:val="center"/>
              <w:rPr>
                <w:rFonts w:hint="eastAsia" w:ascii="仿宋" w:hAnsi="仿宋" w:eastAsia="仿宋" w:cs="Arial"/>
                <w:color w:val="auto"/>
                <w:kern w:val="0"/>
                <w:sz w:val="22"/>
                <w:szCs w:val="22"/>
                <w:highlight w:val="none"/>
              </w:rPr>
            </w:pPr>
          </w:p>
        </w:tc>
        <w:tc>
          <w:tcPr>
            <w:tcW w:w="1314" w:type="dxa"/>
            <w:shd w:val="clear" w:color="auto" w:fill="auto"/>
            <w:vAlign w:val="center"/>
          </w:tcPr>
          <w:p>
            <w:pPr>
              <w:keepNext w:val="0"/>
              <w:keepLines w:val="0"/>
              <w:pageBreakBefore w:val="0"/>
              <w:widowControl/>
              <w:kinsoku/>
              <w:wordWrap/>
              <w:overflowPunct/>
              <w:topLinePunct w:val="0"/>
              <w:autoSpaceDE/>
              <w:autoSpaceDN/>
              <w:bidi w:val="0"/>
              <w:spacing w:line="20" w:lineRule="atLeast"/>
              <w:jc w:val="center"/>
              <w:textAlignment w:val="center"/>
              <w:rPr>
                <w:rFonts w:hint="eastAsia" w:ascii="仿宋" w:hAnsi="仿宋" w:eastAsia="仿宋" w:cs="Arial"/>
                <w:color w:val="auto"/>
                <w:kern w:val="0"/>
                <w:sz w:val="22"/>
                <w:szCs w:val="22"/>
                <w:highlight w:val="none"/>
                <w:lang w:val="en-US" w:eastAsia="zh-CN"/>
              </w:rPr>
            </w:pPr>
            <w:r>
              <w:rPr>
                <w:rFonts w:hint="eastAsia" w:ascii="仿宋" w:hAnsi="仿宋" w:eastAsia="仿宋" w:cs="仿宋"/>
                <w:color w:val="auto"/>
                <w:kern w:val="0"/>
                <w:sz w:val="22"/>
                <w:szCs w:val="22"/>
                <w:highlight w:val="none"/>
              </w:rPr>
              <w:t>按照招标技术要求，在B类地区范围内，提供到场运维技术服务</w:t>
            </w:r>
          </w:p>
        </w:tc>
        <w:tc>
          <w:tcPr>
            <w:tcW w:w="1708" w:type="dxa"/>
            <w:shd w:val="clear" w:color="000000" w:fill="FFFFFF"/>
            <w:vAlign w:val="center"/>
          </w:tcPr>
          <w:p>
            <w:pPr>
              <w:keepNext w:val="0"/>
              <w:keepLines w:val="0"/>
              <w:pageBreakBefore w:val="0"/>
              <w:widowControl/>
              <w:kinsoku/>
              <w:wordWrap/>
              <w:overflowPunct/>
              <w:topLinePunct w:val="0"/>
              <w:autoSpaceDE/>
              <w:autoSpaceDN/>
              <w:bidi w:val="0"/>
              <w:spacing w:line="20" w:lineRule="atLeast"/>
              <w:jc w:val="center"/>
              <w:textAlignment w:val="center"/>
              <w:rPr>
                <w:rFonts w:hint="eastAsia" w:ascii="仿宋" w:hAnsi="仿宋" w:eastAsia="仿宋" w:cs="Arial"/>
                <w:color w:val="auto"/>
                <w:kern w:val="0"/>
                <w:sz w:val="22"/>
                <w:szCs w:val="22"/>
                <w:highlight w:val="none"/>
                <w:lang w:val="en-US" w:eastAsia="zh-CN"/>
              </w:rPr>
            </w:pPr>
            <w:r>
              <w:rPr>
                <w:rFonts w:hint="eastAsia" w:ascii="仿宋" w:hAnsi="仿宋" w:eastAsia="仿宋" w:cs="仿宋"/>
                <w:color w:val="auto"/>
                <w:kern w:val="0"/>
                <w:sz w:val="22"/>
                <w:szCs w:val="22"/>
                <w:highlight w:val="none"/>
              </w:rPr>
              <w:t>河南、安徽、湖北、湖南、宁夏、河北、山西、陕西、黑龙江、吉林、辽宁、内蒙古</w:t>
            </w:r>
          </w:p>
        </w:tc>
        <w:tc>
          <w:tcPr>
            <w:tcW w:w="773" w:type="dxa"/>
            <w:shd w:val="clear" w:color="000000" w:fill="FFFFFF"/>
            <w:vAlign w:val="center"/>
          </w:tcPr>
          <w:p>
            <w:pPr>
              <w:keepNext w:val="0"/>
              <w:keepLines w:val="0"/>
              <w:pageBreakBefore w:val="0"/>
              <w:widowControl/>
              <w:kinsoku/>
              <w:wordWrap/>
              <w:overflowPunct/>
              <w:topLinePunct w:val="0"/>
              <w:autoSpaceDE/>
              <w:autoSpaceDN/>
              <w:bidi w:val="0"/>
              <w:spacing w:line="20" w:lineRule="atLeast"/>
              <w:jc w:val="center"/>
              <w:textAlignment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rPr>
              <w:t>200</w:t>
            </w:r>
          </w:p>
        </w:tc>
        <w:tc>
          <w:tcPr>
            <w:tcW w:w="894" w:type="dxa"/>
            <w:shd w:val="clear" w:color="auto" w:fill="auto"/>
            <w:vAlign w:val="center"/>
          </w:tcPr>
          <w:p>
            <w:pPr>
              <w:keepNext w:val="0"/>
              <w:keepLines w:val="0"/>
              <w:pageBreakBefore w:val="0"/>
              <w:widowControl/>
              <w:kinsoku/>
              <w:wordWrap/>
              <w:overflowPunct/>
              <w:topLinePunct w:val="0"/>
              <w:autoSpaceDE/>
              <w:autoSpaceDN/>
              <w:bidi w:val="0"/>
              <w:spacing w:line="20" w:lineRule="atLeast"/>
              <w:jc w:val="center"/>
              <w:textAlignment w:val="center"/>
              <w:rPr>
                <w:rFonts w:hint="eastAsia" w:ascii="仿宋" w:hAnsi="仿宋" w:eastAsia="仿宋" w:cs="Arial"/>
                <w:color w:val="auto"/>
                <w:kern w:val="0"/>
                <w:sz w:val="22"/>
                <w:szCs w:val="22"/>
                <w:highlight w:val="none"/>
              </w:rPr>
            </w:pPr>
            <w:r>
              <w:rPr>
                <w:rFonts w:hint="eastAsia" w:ascii="仿宋" w:hAnsi="仿宋" w:eastAsia="仿宋" w:cs="仿宋"/>
                <w:color w:val="auto"/>
                <w:sz w:val="22"/>
                <w:szCs w:val="22"/>
                <w:highlight w:val="none"/>
              </w:rPr>
              <w:t>次</w:t>
            </w:r>
          </w:p>
        </w:tc>
        <w:tc>
          <w:tcPr>
            <w:tcW w:w="1826" w:type="dxa"/>
            <w:vMerge w:val="continue"/>
            <w:vAlign w:val="center"/>
          </w:tcPr>
          <w:p>
            <w:pPr>
              <w:widowControl/>
              <w:numPr>
                <w:ilvl w:val="-1"/>
                <w:numId w:val="0"/>
              </w:numPr>
              <w:jc w:val="left"/>
              <w:rPr>
                <w:rFonts w:hint="eastAsia" w:ascii="仿宋" w:hAnsi="仿宋" w:eastAsia="仿宋" w:cs="仿宋"/>
                <w:color w:val="auto"/>
                <w:kern w:val="0"/>
                <w:sz w:val="22"/>
                <w:szCs w:val="22"/>
                <w:highlight w:val="none"/>
                <w:lang w:val="en-US" w:eastAsia="zh-CN"/>
              </w:rPr>
            </w:pPr>
          </w:p>
        </w:tc>
        <w:tc>
          <w:tcPr>
            <w:tcW w:w="3906" w:type="dxa"/>
            <w:vMerge w:val="continue"/>
            <w:vAlign w:val="center"/>
          </w:tcPr>
          <w:p>
            <w:pPr>
              <w:widowControl/>
              <w:jc w:val="left"/>
              <w:rPr>
                <w:rFonts w:hint="eastAsia" w:ascii="仿宋" w:hAnsi="仿宋" w:eastAsia="仿宋" w:cs="仿宋"/>
                <w:b w:val="0"/>
                <w:bCs w:val="0"/>
                <w:color w:val="auto"/>
                <w:kern w:val="0"/>
                <w:sz w:val="22"/>
                <w:szCs w:val="22"/>
                <w:highlight w:val="none"/>
              </w:rPr>
            </w:pPr>
          </w:p>
        </w:tc>
        <w:tc>
          <w:tcPr>
            <w:tcW w:w="1393" w:type="dxa"/>
            <w:vMerge w:val="continue"/>
            <w:vAlign w:val="center"/>
          </w:tcPr>
          <w:p>
            <w:pPr>
              <w:pStyle w:val="6"/>
              <w:widowControl/>
              <w:jc w:val="center"/>
              <w:rPr>
                <w:rFonts w:hint="eastAsia" w:ascii="仿宋" w:hAnsi="仿宋" w:eastAsia="仿宋" w:cs="宋体"/>
                <w:color w:val="auto"/>
                <w:sz w:val="22"/>
                <w:szCs w:val="22"/>
                <w:highlight w:val="none"/>
                <w:lang w:val="en-US" w:eastAsia="zh-CN"/>
              </w:rPr>
            </w:pPr>
          </w:p>
        </w:tc>
      </w:tr>
    </w:tbl>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具体服务不局限于上述招标需求一览表，根据生产需求，甲方有权保证在中标标段内保持合同额基本一致情况下，对不同类型的工作进行调整。</w:t>
      </w:r>
    </w:p>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6"/>
        <w:tabs>
          <w:tab w:val="left" w:pos="625"/>
        </w:tabs>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FC52"/>
    <w:multiLevelType w:val="singleLevel"/>
    <w:tmpl w:val="1BE6FC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D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Normal_1"/>
    <w:qFormat/>
    <w:uiPriority w:val="0"/>
    <w:pPr>
      <w:widowControl w:val="0"/>
      <w:jc w:val="both"/>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2021-03-04T13:13:06Z</dcterms:created>
  <dc:creator>DELL</dc:creator>
  <cp:lastModifiedBy>北辰</cp:lastModifiedBy>
  <dcterms:modified xsi:type="dcterms:W3CDTF">2021-03-04T13:13:21Z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