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auto"/>
          <w:kern w:val="0"/>
          <w:szCs w:val="21"/>
          <w:highlight w:val="none"/>
        </w:rPr>
      </w:pPr>
      <w:r>
        <w:rPr>
          <w:rFonts w:hint="eastAsia" w:ascii="仿宋" w:hAnsi="仿宋" w:eastAsia="仿宋" w:cs="Arial"/>
          <w:b/>
          <w:bCs/>
          <w:color w:val="auto"/>
          <w:kern w:val="0"/>
          <w:szCs w:val="21"/>
          <w:highlight w:val="none"/>
        </w:rPr>
        <w:t>附件1   招标需求一览表</w:t>
      </w:r>
    </w:p>
    <w:tbl>
      <w:tblPr>
        <w:tblStyle w:val="4"/>
        <w:tblW w:w="12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932"/>
        <w:gridCol w:w="773"/>
        <w:gridCol w:w="773"/>
        <w:gridCol w:w="894"/>
        <w:gridCol w:w="1826"/>
        <w:gridCol w:w="3906"/>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31"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lang w:val="en-US" w:eastAsia="zh-CN"/>
              </w:rPr>
              <w:t>项目</w:t>
            </w:r>
            <w:r>
              <w:rPr>
                <w:rFonts w:hint="eastAsia" w:ascii="仿宋" w:hAnsi="仿宋" w:eastAsia="仿宋" w:cs="Arial"/>
                <w:b/>
                <w:bCs/>
                <w:color w:val="auto"/>
                <w:sz w:val="22"/>
                <w:szCs w:val="22"/>
                <w:highlight w:val="none"/>
              </w:rPr>
              <w:t>名称</w:t>
            </w:r>
          </w:p>
        </w:tc>
        <w:tc>
          <w:tcPr>
            <w:tcW w:w="1932"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服务内容</w:t>
            </w:r>
          </w:p>
        </w:tc>
        <w:tc>
          <w:tcPr>
            <w:tcW w:w="773" w:type="dxa"/>
            <w:shd w:val="clear" w:color="auto" w:fill="auto"/>
            <w:vAlign w:val="center"/>
          </w:tcPr>
          <w:p>
            <w:pPr>
              <w:pStyle w:val="6"/>
              <w:widowControl/>
              <w:jc w:val="center"/>
              <w:rPr>
                <w:rFonts w:hint="eastAsia"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数量</w:t>
            </w:r>
          </w:p>
        </w:tc>
        <w:tc>
          <w:tcPr>
            <w:tcW w:w="773" w:type="dxa"/>
            <w:shd w:val="clear" w:color="auto" w:fill="auto"/>
            <w:vAlign w:val="center"/>
          </w:tcPr>
          <w:p>
            <w:pPr>
              <w:pStyle w:val="6"/>
              <w:widowControl/>
              <w:jc w:val="center"/>
              <w:rPr>
                <w:rFonts w:hint="eastAsia"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单位</w:t>
            </w:r>
          </w:p>
        </w:tc>
        <w:tc>
          <w:tcPr>
            <w:tcW w:w="894" w:type="dxa"/>
            <w:shd w:val="clear" w:color="auto" w:fill="auto"/>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服务期</w:t>
            </w:r>
          </w:p>
        </w:tc>
        <w:tc>
          <w:tcPr>
            <w:tcW w:w="1826" w:type="dxa"/>
            <w:vAlign w:val="center"/>
          </w:tcPr>
          <w:p>
            <w:pPr>
              <w:pStyle w:val="6"/>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专用资质要求</w:t>
            </w:r>
          </w:p>
        </w:tc>
        <w:tc>
          <w:tcPr>
            <w:tcW w:w="3906" w:type="dxa"/>
            <w:vAlign w:val="center"/>
          </w:tcPr>
          <w:p>
            <w:pPr>
              <w:pStyle w:val="6"/>
              <w:widowControl/>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专用</w:t>
            </w:r>
            <w:r>
              <w:rPr>
                <w:rFonts w:hint="eastAsia" w:ascii="仿宋" w:hAnsi="仿宋" w:eastAsia="仿宋" w:cs="Arial"/>
                <w:b/>
                <w:bCs/>
                <w:color w:val="auto"/>
                <w:sz w:val="22"/>
                <w:szCs w:val="22"/>
                <w:highlight w:val="none"/>
                <w:lang w:val="en-US" w:eastAsia="zh-CN"/>
              </w:rPr>
              <w:t>业绩</w:t>
            </w:r>
            <w:r>
              <w:rPr>
                <w:rFonts w:hint="eastAsia" w:ascii="仿宋" w:hAnsi="仿宋" w:eastAsia="仿宋" w:cs="Arial"/>
                <w:b/>
                <w:bCs/>
                <w:color w:val="auto"/>
                <w:sz w:val="22"/>
                <w:szCs w:val="22"/>
                <w:highlight w:val="none"/>
              </w:rPr>
              <w:t>要求</w:t>
            </w:r>
          </w:p>
        </w:tc>
        <w:tc>
          <w:tcPr>
            <w:tcW w:w="1393" w:type="dxa"/>
            <w:vAlign w:val="center"/>
          </w:tcPr>
          <w:p>
            <w:pPr>
              <w:pStyle w:val="6"/>
              <w:widowControl/>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431" w:type="dxa"/>
            <w:shd w:val="clear" w:color="auto" w:fill="auto"/>
            <w:vAlign w:val="center"/>
          </w:tcPr>
          <w:p>
            <w:pPr>
              <w:jc w:val="center"/>
              <w:rPr>
                <w:rFonts w:hint="eastAsia" w:ascii="仿宋" w:hAnsi="仿宋" w:eastAsia="仿宋" w:cs="Arial"/>
                <w:color w:val="auto"/>
                <w:sz w:val="22"/>
                <w:szCs w:val="22"/>
                <w:highlight w:val="none"/>
                <w:lang w:eastAsia="zh-CN"/>
              </w:rPr>
            </w:pPr>
            <w:r>
              <w:rPr>
                <w:rFonts w:hint="eastAsia" w:ascii="仿宋" w:hAnsi="仿宋" w:eastAsia="仿宋" w:cs="Arial"/>
                <w:color w:val="auto"/>
                <w:kern w:val="0"/>
                <w:sz w:val="22"/>
                <w:szCs w:val="22"/>
                <w:highlight w:val="none"/>
              </w:rPr>
              <w:t>监督辅助技术服务</w:t>
            </w:r>
            <w:r>
              <w:rPr>
                <w:rFonts w:hint="eastAsia" w:ascii="仿宋" w:hAnsi="仿宋" w:eastAsia="仿宋" w:cs="Arial"/>
                <w:color w:val="auto"/>
                <w:kern w:val="0"/>
                <w:sz w:val="22"/>
                <w:szCs w:val="22"/>
                <w:highlight w:val="none"/>
                <w:lang w:val="en-US" w:eastAsia="zh-CN"/>
              </w:rPr>
              <w:t>项目</w:t>
            </w:r>
          </w:p>
        </w:tc>
        <w:tc>
          <w:tcPr>
            <w:tcW w:w="1932" w:type="dxa"/>
            <w:shd w:val="clear" w:color="auto" w:fill="auto"/>
            <w:vAlign w:val="center"/>
          </w:tcPr>
          <w:p>
            <w:pPr>
              <w:widowControl/>
              <w:jc w:val="center"/>
              <w:rPr>
                <w:rFonts w:ascii="仿宋" w:hAnsi="仿宋" w:eastAsia="仿宋" w:cs="Arial"/>
                <w:color w:val="auto"/>
                <w:sz w:val="22"/>
                <w:szCs w:val="22"/>
                <w:highlight w:val="none"/>
              </w:rPr>
            </w:pPr>
            <w:r>
              <w:rPr>
                <w:rFonts w:hint="eastAsia" w:ascii="仿宋" w:hAnsi="仿宋" w:eastAsia="仿宋" w:cs="Arial"/>
                <w:color w:val="auto"/>
                <w:kern w:val="0"/>
                <w:sz w:val="22"/>
                <w:szCs w:val="22"/>
                <w:highlight w:val="none"/>
                <w:lang w:val="en-US" w:eastAsia="zh-CN"/>
              </w:rPr>
              <w:t>辅助</w:t>
            </w:r>
            <w:r>
              <w:rPr>
                <w:rFonts w:ascii="仿宋" w:hAnsi="仿宋" w:eastAsia="仿宋" w:cs="Arial"/>
                <w:color w:val="auto"/>
                <w:kern w:val="0"/>
                <w:sz w:val="22"/>
                <w:szCs w:val="22"/>
                <w:highlight w:val="none"/>
              </w:rPr>
              <w:t>指导</w:t>
            </w:r>
            <w:r>
              <w:rPr>
                <w:rFonts w:hint="eastAsia" w:ascii="仿宋" w:hAnsi="仿宋" w:eastAsia="仿宋" w:cs="Arial"/>
                <w:color w:val="auto"/>
                <w:kern w:val="0"/>
                <w:sz w:val="22"/>
                <w:szCs w:val="22"/>
                <w:highlight w:val="none"/>
              </w:rPr>
              <w:t>、</w:t>
            </w:r>
            <w:r>
              <w:rPr>
                <w:rFonts w:hint="eastAsia" w:ascii="仿宋" w:hAnsi="仿宋" w:eastAsia="仿宋" w:cs="Arial"/>
                <w:color w:val="auto"/>
                <w:kern w:val="0"/>
                <w:sz w:val="22"/>
                <w:szCs w:val="22"/>
                <w:highlight w:val="none"/>
                <w:lang w:val="en-US" w:eastAsia="zh-CN"/>
              </w:rPr>
              <w:t>监督</w:t>
            </w:r>
            <w:r>
              <w:rPr>
                <w:rFonts w:hint="eastAsia" w:ascii="仿宋" w:hAnsi="仿宋" w:eastAsia="仿宋" w:cs="Arial"/>
                <w:color w:val="auto"/>
                <w:kern w:val="0"/>
                <w:sz w:val="22"/>
                <w:szCs w:val="22"/>
                <w:highlight w:val="none"/>
              </w:rPr>
              <w:t>辅助技术服务、其他临时任务</w:t>
            </w:r>
          </w:p>
        </w:tc>
        <w:tc>
          <w:tcPr>
            <w:tcW w:w="773" w:type="dxa"/>
            <w:shd w:val="clear" w:color="000000" w:fill="FFFFFF"/>
            <w:vAlign w:val="center"/>
          </w:tcPr>
          <w:p>
            <w:pPr>
              <w:widowControl/>
              <w:jc w:val="center"/>
              <w:rPr>
                <w:rFonts w:ascii="仿宋" w:hAnsi="仿宋" w:eastAsia="仿宋" w:cs="Arial"/>
                <w:color w:val="auto"/>
                <w:sz w:val="22"/>
                <w:szCs w:val="22"/>
                <w:highlight w:val="none"/>
              </w:rPr>
            </w:pPr>
            <w:r>
              <w:rPr>
                <w:rFonts w:hint="eastAsia" w:ascii="仿宋" w:hAnsi="仿宋" w:eastAsia="仿宋" w:cs="Arial"/>
                <w:color w:val="auto"/>
                <w:kern w:val="0"/>
                <w:sz w:val="22"/>
                <w:szCs w:val="22"/>
                <w:highlight w:val="none"/>
                <w:lang w:val="en-US" w:eastAsia="zh-CN"/>
              </w:rPr>
              <w:t>691</w:t>
            </w:r>
          </w:p>
        </w:tc>
        <w:tc>
          <w:tcPr>
            <w:tcW w:w="773" w:type="dxa"/>
            <w:shd w:val="clear" w:color="000000" w:fill="FFFFFF"/>
            <w:vAlign w:val="center"/>
          </w:tcPr>
          <w:p>
            <w:pPr>
              <w:widowControl/>
              <w:jc w:val="center"/>
              <w:rPr>
                <w:rFonts w:ascii="仿宋" w:hAnsi="仿宋" w:eastAsia="仿宋" w:cs="Arial"/>
                <w:color w:val="auto"/>
                <w:sz w:val="22"/>
                <w:szCs w:val="22"/>
                <w:highlight w:val="none"/>
              </w:rPr>
            </w:pPr>
            <w:r>
              <w:rPr>
                <w:rFonts w:hint="eastAsia" w:ascii="仿宋" w:hAnsi="仿宋" w:eastAsia="仿宋" w:cs="Arial"/>
                <w:color w:val="auto"/>
                <w:kern w:val="0"/>
                <w:sz w:val="22"/>
                <w:szCs w:val="22"/>
                <w:highlight w:val="none"/>
              </w:rPr>
              <w:t>套</w:t>
            </w:r>
          </w:p>
        </w:tc>
        <w:tc>
          <w:tcPr>
            <w:tcW w:w="894" w:type="dxa"/>
            <w:shd w:val="clear" w:color="auto" w:fill="auto"/>
            <w:vAlign w:val="center"/>
          </w:tcPr>
          <w:p>
            <w:pPr>
              <w:widowControl/>
              <w:jc w:val="center"/>
              <w:rPr>
                <w:rFonts w:ascii="仿宋" w:hAnsi="仿宋" w:eastAsia="仿宋" w:cs="Arial"/>
                <w:color w:val="auto"/>
                <w:sz w:val="22"/>
                <w:szCs w:val="22"/>
                <w:highlight w:val="none"/>
              </w:rPr>
            </w:pPr>
            <w:r>
              <w:rPr>
                <w:rFonts w:hint="eastAsia" w:ascii="仿宋" w:hAnsi="仿宋" w:eastAsia="仿宋" w:cs="Arial"/>
                <w:color w:val="auto"/>
                <w:kern w:val="0"/>
                <w:sz w:val="22"/>
                <w:szCs w:val="22"/>
                <w:highlight w:val="none"/>
              </w:rPr>
              <w:t>1年</w:t>
            </w:r>
          </w:p>
        </w:tc>
        <w:tc>
          <w:tcPr>
            <w:tcW w:w="1826" w:type="dxa"/>
            <w:vAlign w:val="center"/>
          </w:tcPr>
          <w:p>
            <w:pPr>
              <w:widowControl/>
              <w:numPr>
                <w:ilvl w:val="0"/>
                <w:numId w:val="1"/>
              </w:numPr>
              <w:jc w:val="left"/>
              <w:rPr>
                <w:rFonts w:hint="eastAsia" w:ascii="仿宋" w:hAnsi="仿宋" w:eastAsia="仿宋" w:cs="仿宋"/>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应答人应具有独立订立合同的法人资格</w:t>
            </w:r>
            <w:r>
              <w:rPr>
                <w:rFonts w:hint="eastAsia" w:ascii="仿宋" w:hAnsi="仿宋" w:eastAsia="仿宋" w:cs="仿宋"/>
                <w:color w:val="auto"/>
                <w:kern w:val="0"/>
                <w:sz w:val="22"/>
                <w:szCs w:val="22"/>
                <w:highlight w:val="none"/>
                <w:lang w:eastAsia="zh-CN"/>
              </w:rPr>
              <w:t>；</w:t>
            </w:r>
          </w:p>
          <w:p>
            <w:pPr>
              <w:widowControl/>
              <w:numPr>
                <w:ilvl w:val="-1"/>
                <w:numId w:val="0"/>
              </w:numPr>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备注</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不接受代理商及联合体投标</w:t>
            </w:r>
            <w:r>
              <w:rPr>
                <w:rFonts w:hint="eastAsia" w:ascii="仿宋" w:hAnsi="仿宋" w:eastAsia="仿宋" w:cs="仿宋"/>
                <w:color w:val="auto"/>
                <w:kern w:val="0"/>
                <w:sz w:val="22"/>
                <w:szCs w:val="22"/>
                <w:highlight w:val="none"/>
                <w:lang w:eastAsia="zh-CN"/>
              </w:rPr>
              <w:t>。</w:t>
            </w:r>
          </w:p>
        </w:tc>
        <w:tc>
          <w:tcPr>
            <w:tcW w:w="3906" w:type="dxa"/>
            <w:vAlign w:val="center"/>
          </w:tcPr>
          <w:p>
            <w:pPr>
              <w:widowControl/>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rPr>
              <w:t>完成过与招标项目相类似的同等或以上技术要求的项目</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2018年1月1日至投标截止日内完成过与招标项目相类似的同等或以上技术要求的项目。要求的项目不少于3份，累计合同额不低于</w:t>
            </w:r>
            <w:r>
              <w:rPr>
                <w:rFonts w:hint="eastAsia" w:ascii="仿宋" w:hAnsi="仿宋" w:eastAsia="仿宋" w:cs="宋体"/>
                <w:color w:val="auto"/>
                <w:kern w:val="0"/>
                <w:sz w:val="22"/>
                <w:szCs w:val="22"/>
                <w:highlight w:val="none"/>
                <w:lang w:val="en-US" w:eastAsia="zh-CN"/>
              </w:rPr>
              <w:t>7</w:t>
            </w:r>
            <w:r>
              <w:rPr>
                <w:rFonts w:hint="eastAsia" w:ascii="仿宋" w:hAnsi="仿宋" w:eastAsia="仿宋" w:cs="宋体"/>
                <w:color w:val="auto"/>
                <w:kern w:val="0"/>
                <w:sz w:val="22"/>
                <w:szCs w:val="22"/>
                <w:highlight w:val="none"/>
              </w:rPr>
              <w:t>00万。注：业绩必须提供对应的合同复印件</w:t>
            </w:r>
            <w:r>
              <w:rPr>
                <w:rFonts w:hint="eastAsia" w:ascii="仿宋" w:hAnsi="仿宋" w:eastAsia="仿宋" w:cs="仿宋"/>
                <w:color w:val="auto"/>
                <w:kern w:val="0"/>
                <w:sz w:val="22"/>
                <w:szCs w:val="22"/>
                <w:highlight w:val="none"/>
                <w:lang w:eastAsia="zh-CN"/>
              </w:rPr>
              <w:t>；</w:t>
            </w:r>
          </w:p>
        </w:tc>
        <w:tc>
          <w:tcPr>
            <w:tcW w:w="1393" w:type="dxa"/>
            <w:vAlign w:val="center"/>
          </w:tcPr>
          <w:p>
            <w:pPr>
              <w:pStyle w:val="6"/>
              <w:widowControl/>
              <w:jc w:val="center"/>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21</w:t>
            </w:r>
          </w:p>
        </w:tc>
      </w:tr>
    </w:tbl>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具体服务不局限于上述招标需求一览表，根据生产需求，甲方有权保证在中标标段内保持合同额基本一致情况下，对不同类型的工作进行调整。</w:t>
      </w:r>
    </w:p>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pStyle w:val="6"/>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6"/>
        <w:tabs>
          <w:tab w:val="left" w:pos="625"/>
        </w:tabs>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FC52"/>
    <w:multiLevelType w:val="singleLevel"/>
    <w:tmpl w:val="1BE6FC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36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Normal_1"/>
    <w:qFormat/>
    <w:uiPriority w:val="0"/>
    <w:pPr>
      <w:widowControl w:val="0"/>
      <w:jc w:val="both"/>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2021-03-04T13:14:08Z</dcterms:created>
  <dc:creator>DELL</dc:creator>
  <cp:lastModifiedBy>北辰</cp:lastModifiedBy>
  <dcterms:modified xsi:type="dcterms:W3CDTF">2021-03-04T13:14:36Z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