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山东中实易通集团有限公司2021年6月第一次服务公开招标采购中标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ascii="方正仿宋_GBK" w:hAnsi="方正仿宋_GBK" w:eastAsia="方正仿宋_GBK" w:cs="方正仿宋_GBK"/>
          <w:color w:val="auto"/>
          <w:sz w:val="32"/>
        </w:rPr>
      </w:pPr>
      <w:r>
        <w:rPr>
          <w:rFonts w:ascii="方正仿宋_GBK" w:hAnsi="方正仿宋_GBK" w:eastAsia="方正仿宋_GBK" w:cs="方正仿宋_GBK"/>
          <w:color w:val="auto"/>
          <w:sz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ascii="方正仿宋_GBK" w:hAnsi="方正仿宋_GBK" w:eastAsia="方正仿宋_GBK" w:cs="方正仿宋_GBK"/>
          <w:color w:val="auto"/>
          <w:sz w:val="32"/>
        </w:rPr>
        <w:t>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YTZB20210601</w:t>
      </w:r>
      <w:r>
        <w:rPr>
          <w:rFonts w:ascii="方正仿宋_GBK" w:hAnsi="方正仿宋_GBK" w:eastAsia="方正仿宋_GBK" w:cs="方正仿宋_GBK"/>
          <w:color w:val="auto"/>
          <w:sz w:val="32"/>
        </w:rPr>
        <w:t>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山东中实易通集团有限公司2021年6月第一次服务公开招标采购</w:t>
      </w:r>
      <w:r>
        <w:rPr>
          <w:rFonts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候选人予以公示，公示期3天。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50"/>
        <w:gridCol w:w="1477"/>
        <w:gridCol w:w="1319"/>
        <w:gridCol w:w="981"/>
        <w:gridCol w:w="992"/>
        <w:gridCol w:w="1154"/>
        <w:gridCol w:w="92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分标编号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包名称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推荐的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eastAsia="zh-CN"/>
              </w:rPr>
              <w:t>中标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候选人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工期/服务期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评审情况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  <w:t>中标金额（含税）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YTZB2021-1008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YTZB20210508后勤、车辆服务框架项目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济南星辰物业管理有限公司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中标单价合计（含税）：1697.5元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YTZB20210509综合管理与技术服务框架项目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济南恒佳人力资源管理有限公司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中标单价合计（含税）：7562元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YTZB2021-1009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YTZB20210510设备运输框架项目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YTZB2021-1010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智能配电网终端检测辅助服务框架项目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YTZB20210512德州等地区新能源场站并网检测辅助服务框架项目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山东华拓电气技术有限公司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中标单价（含税）：949.76元/人·天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YTZB20210513济南等地区新能源场站并网检测辅助服务框架项目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济南罗顿电气设备有限公司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中标单价（含税）：956.00元/人·天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YTZB20210514办公场所零星维修服务项目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山东乐迈文化发展有限公司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检测报告打印出版框架项目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YTZB20210516 PPT等设计制作框架项目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山东新视窗文化发展有限公司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中标单价合计（含税）：1995元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YTZB20210517视频制作框架项目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济南大元数码技术有限公司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中标单价合计（含税）：5192元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YTZB20210518展板等印刷制作框架项目1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山东舜富广告传媒有限公司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中标单价合计（含税）：87321元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YTZB20210519展板等印刷制作框架项目2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山东骁图文化传媒有限公司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中标单价合计（含税）：89505元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YTZB2021-1016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YTZB20210520氛围营造设计制作框架项目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山东纳美数字技术有限公司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中标单价合计（含税）：18006元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YTZB2021-1018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YTZB20210522涂料代工服务框架项目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梁山齐彩化工有限公司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中标单价（含税）：12700 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YTZB2021-1021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YTZB20210523文化展示活动综合服务项目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山东麦拓文化传媒有限公司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YTZB2021-1022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YTZB20210524调试辅助服务框架项目</w:t>
            </w:r>
          </w:p>
        </w:tc>
        <w:tc>
          <w:tcPr>
            <w:tcW w:w="728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投标家数不足开标家数，流标。</w:t>
            </w:r>
          </w:p>
        </w:tc>
      </w:tr>
    </w:tbl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</w:p>
    <w:p>
      <w:pPr>
        <w:spacing w:line="300" w:lineRule="auto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本公示公示期3日。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FF0000"/>
          <w:sz w:val="30"/>
        </w:rPr>
      </w:pPr>
      <w:r>
        <w:rPr>
          <w:rFonts w:ascii="方正仿宋_GBK" w:hAnsi="方正仿宋_GBK" w:eastAsia="方正仿宋_GBK" w:cs="方正仿宋_GBK"/>
          <w:color w:val="FF0000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FF0000"/>
          <w:sz w:val="30"/>
          <w:lang w:val="en-US" w:eastAsia="zh-CN"/>
        </w:rPr>
        <w:t>6月25</w:t>
      </w:r>
      <w:r>
        <w:rPr>
          <w:rFonts w:ascii="方正仿宋_GBK" w:hAnsi="方正仿宋_GBK" w:eastAsia="方正仿宋_GBK" w:cs="方正仿宋_GBK"/>
          <w:color w:val="FF0000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B552EAF"/>
    <w:rsid w:val="122A77E9"/>
    <w:rsid w:val="13A01A7D"/>
    <w:rsid w:val="14CA10E8"/>
    <w:rsid w:val="15354E27"/>
    <w:rsid w:val="1CA63AB1"/>
    <w:rsid w:val="28D96FFD"/>
    <w:rsid w:val="29B06D5D"/>
    <w:rsid w:val="2FA056B9"/>
    <w:rsid w:val="2FCA1731"/>
    <w:rsid w:val="328F6430"/>
    <w:rsid w:val="330F1182"/>
    <w:rsid w:val="403C38AF"/>
    <w:rsid w:val="41846A09"/>
    <w:rsid w:val="43AD4225"/>
    <w:rsid w:val="481914CF"/>
    <w:rsid w:val="49BC7CB4"/>
    <w:rsid w:val="505E46D7"/>
    <w:rsid w:val="56F66ED6"/>
    <w:rsid w:val="5ED313A2"/>
    <w:rsid w:val="60BD4020"/>
    <w:rsid w:val="60D158CD"/>
    <w:rsid w:val="66830DC3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5</TotalTime>
  <ScaleCrop>false</ScaleCrop>
  <LinksUpToDate>false</LinksUpToDate>
  <CharactersWithSpaces>3120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A水瓶西柚百香果</cp:lastModifiedBy>
  <dcterms:modified xsi:type="dcterms:W3CDTF">2021-06-25T01:26:35Z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