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22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80"/>
        <w:gridCol w:w="3232"/>
        <w:gridCol w:w="872"/>
        <w:gridCol w:w="485"/>
        <w:gridCol w:w="1171"/>
        <w:gridCol w:w="807"/>
        <w:gridCol w:w="725"/>
        <w:gridCol w:w="1205"/>
        <w:gridCol w:w="1310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8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数量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pStyle w:val="14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  <w:u w:val="none"/>
              </w:rPr>
              <w:t>专用资质要求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pStyle w:val="14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专用业绩要求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pStyle w:val="14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高清球机、通讯配电箱等采购项目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通讯配电箱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内部尺寸1200mm高*700mm宽*450mm宽；304不锈钢；前后开门；前开门预留交换机位置及电源，布置导轨及线槽；后开门完善箱体内电源系统；箱内需具备防潮散热功能等。</w:t>
            </w:r>
          </w:p>
        </w:tc>
        <w:tc>
          <w:tcPr>
            <w:tcW w:w="8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8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接到供货通知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供应商应具有独立订立合同的法人资格。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年1月1日至招标采购公告发布日止，同类产品累计销售业绩不少于2份，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累计合同额不低于150万元，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业绩必须提供对应的合同复印件。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8百兆电口+2千兆光口；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非网管型，支持POE供电；                        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尺寸（宽×高×深）不大于：70×160×140mm；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工作温度不小于区间-30~60度等。</w:t>
            </w:r>
          </w:p>
        </w:tc>
        <w:tc>
          <w:tcPr>
            <w:tcW w:w="8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接到供货通知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不小于6TB，3.5英寸，SATA，性能级别不低于5400RPM，7*24小时不间断运行等</w:t>
            </w:r>
          </w:p>
        </w:tc>
        <w:tc>
          <w:tcPr>
            <w:tcW w:w="8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48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接到供货通知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不小于64路视频分析，支持16路视频同时解码等</w:t>
            </w:r>
          </w:p>
        </w:tc>
        <w:tc>
          <w:tcPr>
            <w:tcW w:w="8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接到供货通知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高清球机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不小于200万像素；不小于0倍光学变焦；水平0-360°连续旋转，垂直-90°～+15°；红外补光；包含支架等</w:t>
            </w:r>
          </w:p>
        </w:tc>
        <w:tc>
          <w:tcPr>
            <w:tcW w:w="8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862</w:t>
            </w:r>
          </w:p>
        </w:tc>
        <w:tc>
          <w:tcPr>
            <w:tcW w:w="48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接到供货通知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超五类屏蔽网线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线规24AWG，绝缘层厚度7.0±0.3mm等</w:t>
            </w:r>
          </w:p>
        </w:tc>
        <w:tc>
          <w:tcPr>
            <w:tcW w:w="8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76200</w:t>
            </w:r>
          </w:p>
        </w:tc>
        <w:tc>
          <w:tcPr>
            <w:tcW w:w="48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接到供货通知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两芯电源线</w:t>
            </w:r>
          </w:p>
        </w:tc>
        <w:tc>
          <w:tcPr>
            <w:tcW w:w="3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ZR-RVV2*1.5，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无氧纯铜纤芯，全新聚氯烯材料不燃烧，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阻燃特性和技术参数要求需符合GB/T 19666标准的规定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8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76200</w:t>
            </w:r>
          </w:p>
        </w:tc>
        <w:tc>
          <w:tcPr>
            <w:tcW w:w="48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接到供货通知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1205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8"/>
        <w:shd w:val="clear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numPr>
          <w:ilvl w:val="-1"/>
          <w:numId w:val="0"/>
        </w:numPr>
        <w:shd w:val="clear"/>
        <w:ind w:left="0" w:firstLine="0"/>
        <w:jc w:val="left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numPr>
          <w:ilvl w:val="-1"/>
          <w:numId w:val="0"/>
        </w:numPr>
        <w:shd w:val="clear"/>
        <w:tabs>
          <w:tab w:val="left" w:pos="312"/>
        </w:tabs>
        <w:rPr>
          <w:rFonts w:hint="eastAsia" w:ascii="仿宋" w:hAnsi="仿宋" w:eastAsia="仿宋"/>
          <w:color w:val="auto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906460D"/>
    <w:rsid w:val="09E04429"/>
    <w:rsid w:val="0A3001E0"/>
    <w:rsid w:val="0BC04CF3"/>
    <w:rsid w:val="0BD91152"/>
    <w:rsid w:val="0C3376D7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39D436C"/>
    <w:rsid w:val="246A6564"/>
    <w:rsid w:val="26C9733C"/>
    <w:rsid w:val="26D04D02"/>
    <w:rsid w:val="27E6353A"/>
    <w:rsid w:val="283F1CD8"/>
    <w:rsid w:val="2894561A"/>
    <w:rsid w:val="2910361F"/>
    <w:rsid w:val="291D4488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2E3924"/>
    <w:rsid w:val="416B26FA"/>
    <w:rsid w:val="439E6864"/>
    <w:rsid w:val="43E01DD0"/>
    <w:rsid w:val="446245CF"/>
    <w:rsid w:val="455B308D"/>
    <w:rsid w:val="476A5954"/>
    <w:rsid w:val="48FC3A10"/>
    <w:rsid w:val="494C2758"/>
    <w:rsid w:val="49721EC3"/>
    <w:rsid w:val="49A858B7"/>
    <w:rsid w:val="4A87279D"/>
    <w:rsid w:val="4B6A1A87"/>
    <w:rsid w:val="4BDB43AD"/>
    <w:rsid w:val="4D072861"/>
    <w:rsid w:val="4D444125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1627E38"/>
    <w:rsid w:val="62922A0B"/>
    <w:rsid w:val="632B03E5"/>
    <w:rsid w:val="633B3238"/>
    <w:rsid w:val="63400718"/>
    <w:rsid w:val="65870405"/>
    <w:rsid w:val="659F3FA8"/>
    <w:rsid w:val="676906D7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757847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2022-05-26T10:19:22Z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