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需求一览表</w:t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tbl>
      <w:tblPr>
        <w:tblStyle w:val="3"/>
        <w:tblW w:w="12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678"/>
        <w:gridCol w:w="4987"/>
        <w:gridCol w:w="392"/>
        <w:gridCol w:w="495"/>
        <w:gridCol w:w="1030"/>
        <w:gridCol w:w="772"/>
        <w:gridCol w:w="807"/>
        <w:gridCol w:w="980"/>
        <w:gridCol w:w="108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7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智能搬运叉车采购项目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智能搬运叉车</w:t>
            </w:r>
          </w:p>
        </w:tc>
        <w:tc>
          <w:tcPr>
            <w:tcW w:w="498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</w:rPr>
              <w:t>叉车本体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（1）外形尺L*D*H：L＜3500mm，D＜2500mm，H＜2500mm；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）载荷中心距：600~1200mm；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）自重：≤5500kg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）导航方式：激光反射板或自然导航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操作形式：手动/自动；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）叉齿尺寸：适配现场作业托盘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）额定起升重量，货架1~2层≥3000kg，3~4层≥1500kg；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）最大高度≥6米；</w:t>
            </w:r>
          </w:p>
          <w:p>
            <w:pPr>
              <w:widowControl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）插取托盘：L2000mm*W1600mm*H215mm，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 xml:space="preserve">）最大起升速度（满载/空载） ≥24mm/s； </w:t>
            </w:r>
          </w:p>
          <w:p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）额定工况下工作时间 ≥6h ；</w:t>
            </w:r>
          </w:p>
          <w:p>
            <w:pPr>
              <w:pStyle w:val="2"/>
              <w:snapToGrid w:val="0"/>
              <w:spacing w:before="0" w:after="0" w:line="240" w:lineRule="auto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</w:rPr>
              <w:t>（1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</w:rPr>
              <w:t>）激光避障，碰撞条检测，托盘到位检测，叉齿检测，声光报警，货物检测；对接系统：具备网络接入能力，接受调度平台的调度指令。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动力锂电池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（1）电池额定电压：24v；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）电池容量：≥180Ah；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）充电循环次数：≥1500；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）充电时间：≤4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小时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）充电方式：自动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3、驱动单元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（1）电源：1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ascii="宋体" w:hAnsi="宋体" w:eastAsia="宋体" w:cs="宋体"/>
                <w:szCs w:val="21"/>
              </w:rPr>
              <w:t>36VDC;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）内存：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不低于</w:t>
            </w:r>
            <w:r>
              <w:rPr>
                <w:rFonts w:ascii="宋体" w:hAnsi="宋体" w:eastAsia="宋体" w:cs="宋体"/>
                <w:szCs w:val="21"/>
              </w:rPr>
              <w:t>4GB DDR3L 1333MHz( 8GB);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zCs w:val="21"/>
              </w:rPr>
              <w:t>工作温度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ascii="宋体" w:hAnsi="宋体" w:eastAsia="宋体" w:cs="宋体"/>
                <w:szCs w:val="21"/>
              </w:rPr>
              <w:t xml:space="preserve">-20 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ascii="宋体" w:hAnsi="宋体" w:eastAsia="宋体" w:cs="宋体"/>
                <w:szCs w:val="21"/>
              </w:rPr>
              <w:t xml:space="preserve"> 60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  <w:r>
              <w:rPr>
                <w:rFonts w:ascii="宋体" w:hAnsi="宋体" w:eastAsia="宋体" w:cs="宋体"/>
                <w:szCs w:val="21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、智能充电设备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（1）最大功率 11.2 Kw 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（2）输入电压 交流（3）输入电压：380VAC  50Hz三相四线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）输出电压 DC 42-56V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）输出电流 DC 10-200A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）稳压精度 ≤±1%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）纹波 ≤200mV（带宽20MHZ）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）冷却方式 风冷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）控制方式 手动均充、自动快充 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）外形尺寸 ≤L450mm*W400mm*H1100mm </w:t>
            </w:r>
          </w:p>
          <w:p>
            <w:pPr>
              <w:widowControl/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）表面处理 酸洗、磷化处理、喷塑</w:t>
            </w:r>
          </w:p>
        </w:tc>
        <w:tc>
          <w:tcPr>
            <w:tcW w:w="39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495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买方指定地点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制造商。供应商应具有独立订立合同的法人资格。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2019年1月1日至招标采购公告发布日止，叉车累计销售业绩不少于2份，累计合同额不低于50万元，业绩必须提供对应的合同复印件。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1.7</w:t>
            </w:r>
          </w:p>
        </w:tc>
      </w:tr>
    </w:tbl>
    <w:p>
      <w:pPr>
        <w:pStyle w:val="6"/>
        <w:ind w:left="-357" w:leftChars="-170" w:firstLine="440"/>
        <w:outlineLvl w:val="0"/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6"/>
        <w:ind w:left="-357" w:leftChars="-170" w:firstLine="440"/>
        <w:outlineLvl w:val="0"/>
        <w:rPr>
          <w:rFonts w:hint="eastAsia" w:ascii="仿宋" w:hAnsi="仿宋" w:eastAsia="仿宋"/>
          <w:color w:val="000000"/>
          <w:sz w:val="22"/>
          <w:szCs w:val="22"/>
          <w:lang w:eastAsia="zh-CN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/>
          <w:sz w:val="22"/>
          <w:szCs w:val="22"/>
          <w:lang w:eastAsia="zh-CN"/>
        </w:rPr>
        <w:t>。</w:t>
      </w:r>
    </w:p>
    <w:p>
      <w:pPr>
        <w:rPr>
          <w:rFonts w:hint="eastAsia"/>
        </w:rPr>
      </w:pPr>
    </w:p>
    <w:p>
      <w:pPr>
        <w:jc w:val="left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67660"/>
    <w:rsid w:val="2F3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2022-07-13T08:48:00Z</dcterms:created>
  <dc:creator>Administrator</dc:creator>
  <cp:lastModifiedBy>Administrator</cp:lastModifiedBy>
  <dcterms:modified xsi:type="dcterms:W3CDTF">2022-07-13T08:49:04Z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