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"/>
        </w:tabs>
        <w:rPr>
          <w:rFonts w:hint="eastAsia"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附件1：采购需求一览表</w:t>
      </w:r>
    </w:p>
    <w:tbl>
      <w:tblPr>
        <w:tblStyle w:val="3"/>
        <w:tblW w:w="11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024"/>
        <w:gridCol w:w="3650"/>
        <w:gridCol w:w="578"/>
        <w:gridCol w:w="545"/>
        <w:gridCol w:w="859"/>
        <w:gridCol w:w="855"/>
        <w:gridCol w:w="878"/>
        <w:gridCol w:w="1841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服务内容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主要技术要求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服务期/工期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质保期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0"/>
                <w:szCs w:val="20"/>
                <w:highlight w:val="none"/>
              </w:rPr>
              <w:t>专用资质要求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0"/>
                <w:szCs w:val="20"/>
                <w:highlight w:val="none"/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0"/>
                <w:szCs w:val="20"/>
                <w:highlight w:val="none"/>
              </w:rPr>
              <w:t>要求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0"/>
                <w:szCs w:val="20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8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500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k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V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板桥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站、隆盛站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智能巡检机器人系统升级技术服务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机器人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红外系统升级</w:t>
            </w:r>
          </w:p>
        </w:tc>
        <w:tc>
          <w:tcPr>
            <w:tcW w:w="36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按照甲方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机器人系统升级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规范及业主要求，完成变电站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机器人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红外探测性能升级，红外摄像机分辨率提升至640*512，确保各项功能正常使用，通过甲方及业主方验收。</w:t>
            </w:r>
          </w:p>
        </w:tc>
        <w:tc>
          <w:tcPr>
            <w:tcW w:w="57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接服务通知后2个月内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应具有独立订立合同的法人资格。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不接受联合体投标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FF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应答人201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年1月1日至投标截止日内，完成过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机器人服务类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项目不少于2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且合同额累计不低于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万元，注：业绩必须提供对应的合同复印件。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78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机器人后台系统升级</w:t>
            </w:r>
          </w:p>
        </w:tc>
        <w:tc>
          <w:tcPr>
            <w:tcW w:w="36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按照甲方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机器人系统升级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规范及业主要求，完成机器人后台系统升级，实现用户操作平台软件在变电站3D模型上对机器人进行操控，通过平台下发命令让机器人进行巡检作业。满足使用要求，确保通过甲方及业主方验收。</w:t>
            </w:r>
          </w:p>
        </w:tc>
        <w:tc>
          <w:tcPr>
            <w:tcW w:w="57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接服务通知后2个月内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8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78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人员定位系统升级</w:t>
            </w:r>
          </w:p>
        </w:tc>
        <w:tc>
          <w:tcPr>
            <w:tcW w:w="36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按照甲方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机器人系统升级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规范及业主要求，完成人员定位系统升级，实现人员定位功能。</w:t>
            </w:r>
          </w:p>
        </w:tc>
        <w:tc>
          <w:tcPr>
            <w:tcW w:w="57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接服务通知后2个月内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8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numPr>
          <w:ilvl w:val="0"/>
          <w:numId w:val="0"/>
        </w:numPr>
        <w:spacing w:line="240" w:lineRule="auto"/>
        <w:ind w:leftChars="-170" w:firstLine="440" w:firstLineChars="200"/>
        <w:outlineLvl w:val="0"/>
        <w:rPr>
          <w:rFonts w:hint="eastAsia"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  <w:lang w:eastAsia="zh-CN"/>
        </w:rPr>
        <w:t>具体服务不局限于上述需求一览表。应包括上述服务相关延伸服务及产品，类似升级服务及相关产品。</w:t>
      </w:r>
    </w:p>
    <w:p>
      <w:pPr>
        <w:spacing w:line="240" w:lineRule="auto"/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</w:t>
      </w:r>
    </w:p>
    <w:p>
      <w:pPr>
        <w:spacing w:line="240" w:lineRule="auto"/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pacing w:line="240" w:lineRule="auto"/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spacing w:line="240" w:lineRule="auto"/>
        <w:rPr>
          <w:rFonts w:ascii="仿宋" w:hAnsi="仿宋" w:eastAsia="仿宋"/>
          <w:color w:val="000000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960F6"/>
    <w:rsid w:val="0659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2022-08-31T02:05:00Z</dcterms:created>
  <dc:creator>Administrator</dc:creator>
  <cp:lastModifiedBy>Administrator</cp:lastModifiedBy>
  <dcterms:modified xsi:type="dcterms:W3CDTF">2022-08-31T02:05:19Z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