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left"/>
        <w:rPr>
          <w:rFonts w:hint="eastAsia" w:ascii="仿宋" w:hAnsi="仿宋" w:eastAsia="仿宋" w:cs="Arial"/>
          <w:b/>
          <w:bCs/>
          <w:color w:val="000000" w:themeColor="text1"/>
          <w:kern w:val="0"/>
          <w:szCs w:val="21"/>
          <w:highlight w:val="none"/>
          <w14:textFill>
            <w14:solidFill>
              <w14:schemeClr w14:val="tx1"/>
            </w14:solidFill>
          </w14:textFill>
        </w:rPr>
      </w:pPr>
      <w:bookmarkStart w:id="0" w:name="_GoBack"/>
      <w:bookmarkEnd w:id="0"/>
      <w:r>
        <w:rPr>
          <w:rFonts w:hint="eastAsia" w:ascii="仿宋" w:hAnsi="仿宋" w:eastAsia="仿宋" w:cs="Arial"/>
          <w:b/>
          <w:bCs/>
          <w:color w:val="000000" w:themeColor="text1"/>
          <w:kern w:val="0"/>
          <w:szCs w:val="21"/>
          <w:highlight w:val="none"/>
          <w14:textFill>
            <w14:solidFill>
              <w14:schemeClr w14:val="tx1"/>
            </w14:solidFill>
          </w14:textFill>
        </w:rPr>
        <w:t>附件1   招标需求一览表</w:t>
      </w:r>
    </w:p>
    <w:tbl>
      <w:tblPr>
        <w:tblStyle w:val="8"/>
        <w:tblW w:w="1305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1"/>
        <w:gridCol w:w="1209"/>
        <w:gridCol w:w="2444"/>
        <w:gridCol w:w="749"/>
        <w:gridCol w:w="855"/>
        <w:gridCol w:w="945"/>
        <w:gridCol w:w="934"/>
        <w:gridCol w:w="1628"/>
        <w:gridCol w:w="1985"/>
        <w:gridCol w:w="9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2" w:hRule="atLeast"/>
          <w:jc w:val="center"/>
        </w:trPr>
        <w:tc>
          <w:tcPr>
            <w:tcW w:w="1381" w:type="dxa"/>
            <w:vAlign w:val="center"/>
          </w:tcPr>
          <w:p>
            <w:pPr>
              <w:widowControl/>
              <w:jc w:val="center"/>
              <w:rPr>
                <w:rFonts w:hint="eastAsia" w:ascii="仿宋" w:hAnsi="仿宋" w:eastAsia="仿宋" w:cs="仿宋"/>
                <w:b/>
                <w:bCs/>
                <w:color w:val="000000" w:themeColor="text1"/>
                <w:kern w:val="0"/>
                <w:sz w:val="22"/>
                <w:szCs w:val="22"/>
                <w:highlight w:val="none"/>
                <w14:textFill>
                  <w14:solidFill>
                    <w14:schemeClr w14:val="tx1"/>
                  </w14:solidFill>
                </w14:textFill>
              </w:rPr>
            </w:pPr>
            <w:r>
              <w:rPr>
                <w:rFonts w:hint="eastAsia" w:ascii="仿宋" w:hAnsi="仿宋" w:eastAsia="仿宋" w:cs="仿宋"/>
                <w:b/>
                <w:bCs/>
                <w:color w:val="000000" w:themeColor="text1"/>
                <w:kern w:val="0"/>
                <w:sz w:val="22"/>
                <w:szCs w:val="22"/>
                <w:highlight w:val="none"/>
                <w14:textFill>
                  <w14:solidFill>
                    <w14:schemeClr w14:val="tx1"/>
                  </w14:solidFill>
                </w14:textFill>
              </w:rPr>
              <w:t>项目名称</w:t>
            </w:r>
          </w:p>
        </w:tc>
        <w:tc>
          <w:tcPr>
            <w:tcW w:w="1209" w:type="dxa"/>
            <w:shd w:val="clear" w:color="auto" w:fill="auto"/>
            <w:vAlign w:val="center"/>
          </w:tcPr>
          <w:p>
            <w:pPr>
              <w:widowControl/>
              <w:jc w:val="center"/>
              <w:rPr>
                <w:rFonts w:hint="eastAsia" w:ascii="仿宋" w:hAnsi="仿宋" w:eastAsia="仿宋" w:cs="仿宋"/>
                <w:b/>
                <w:bCs/>
                <w:color w:val="000000" w:themeColor="text1"/>
                <w:kern w:val="0"/>
                <w:sz w:val="22"/>
                <w:szCs w:val="22"/>
                <w:highlight w:val="none"/>
                <w14:textFill>
                  <w14:solidFill>
                    <w14:schemeClr w14:val="tx1"/>
                  </w14:solidFill>
                </w14:textFill>
              </w:rPr>
            </w:pPr>
            <w:r>
              <w:rPr>
                <w:rFonts w:hint="eastAsia" w:ascii="仿宋" w:hAnsi="仿宋" w:eastAsia="仿宋" w:cs="仿宋"/>
                <w:b/>
                <w:bCs/>
                <w:color w:val="000000" w:themeColor="text1"/>
                <w:kern w:val="0"/>
                <w:sz w:val="22"/>
                <w:szCs w:val="22"/>
                <w:highlight w:val="none"/>
                <w14:textFill>
                  <w14:solidFill>
                    <w14:schemeClr w14:val="tx1"/>
                  </w14:solidFill>
                </w14:textFill>
              </w:rPr>
              <w:t>服务内容</w:t>
            </w:r>
          </w:p>
        </w:tc>
        <w:tc>
          <w:tcPr>
            <w:tcW w:w="2444" w:type="dxa"/>
            <w:shd w:val="clear" w:color="auto" w:fill="auto"/>
            <w:vAlign w:val="center"/>
          </w:tcPr>
          <w:p>
            <w:pPr>
              <w:widowControl/>
              <w:jc w:val="center"/>
              <w:rPr>
                <w:rFonts w:hint="eastAsia" w:ascii="仿宋" w:hAnsi="仿宋" w:eastAsia="仿宋" w:cs="仿宋"/>
                <w:b/>
                <w:bCs/>
                <w:color w:val="000000" w:themeColor="text1"/>
                <w:kern w:val="0"/>
                <w:sz w:val="22"/>
                <w:szCs w:val="22"/>
                <w:highlight w:val="none"/>
                <w14:textFill>
                  <w14:solidFill>
                    <w14:schemeClr w14:val="tx1"/>
                  </w14:solidFill>
                </w14:textFill>
              </w:rPr>
            </w:pPr>
            <w:r>
              <w:rPr>
                <w:rFonts w:hint="eastAsia" w:ascii="仿宋" w:hAnsi="仿宋" w:eastAsia="仿宋" w:cs="仿宋"/>
                <w:b/>
                <w:bCs/>
                <w:color w:val="000000" w:themeColor="text1"/>
                <w:kern w:val="0"/>
                <w:sz w:val="22"/>
                <w:szCs w:val="22"/>
                <w:highlight w:val="none"/>
                <w14:textFill>
                  <w14:solidFill>
                    <w14:schemeClr w14:val="tx1"/>
                  </w14:solidFill>
                </w14:textFill>
              </w:rPr>
              <w:t>主要技术要求</w:t>
            </w:r>
          </w:p>
        </w:tc>
        <w:tc>
          <w:tcPr>
            <w:tcW w:w="749" w:type="dxa"/>
            <w:shd w:val="clear" w:color="auto" w:fill="auto"/>
            <w:vAlign w:val="center"/>
          </w:tcPr>
          <w:p>
            <w:pPr>
              <w:widowControl/>
              <w:jc w:val="center"/>
              <w:rPr>
                <w:rFonts w:hint="eastAsia" w:ascii="仿宋" w:hAnsi="仿宋" w:eastAsia="仿宋" w:cs="仿宋"/>
                <w:b/>
                <w:bCs/>
                <w:color w:val="000000" w:themeColor="text1"/>
                <w:kern w:val="0"/>
                <w:sz w:val="22"/>
                <w:szCs w:val="22"/>
                <w:highlight w:val="none"/>
                <w14:textFill>
                  <w14:solidFill>
                    <w14:schemeClr w14:val="tx1"/>
                  </w14:solidFill>
                </w14:textFill>
              </w:rPr>
            </w:pPr>
            <w:r>
              <w:rPr>
                <w:rFonts w:hint="eastAsia" w:ascii="仿宋" w:hAnsi="仿宋" w:eastAsia="仿宋" w:cs="仿宋"/>
                <w:b/>
                <w:bCs/>
                <w:color w:val="000000" w:themeColor="text1"/>
                <w:kern w:val="0"/>
                <w:sz w:val="22"/>
                <w:szCs w:val="22"/>
                <w:highlight w:val="none"/>
                <w14:textFill>
                  <w14:solidFill>
                    <w14:schemeClr w14:val="tx1"/>
                  </w14:solidFill>
                </w14:textFill>
              </w:rPr>
              <w:t>单位</w:t>
            </w:r>
          </w:p>
        </w:tc>
        <w:tc>
          <w:tcPr>
            <w:tcW w:w="855" w:type="dxa"/>
            <w:shd w:val="clear" w:color="auto" w:fill="auto"/>
            <w:vAlign w:val="center"/>
          </w:tcPr>
          <w:p>
            <w:pPr>
              <w:widowControl/>
              <w:jc w:val="center"/>
              <w:rPr>
                <w:rFonts w:hint="eastAsia" w:ascii="仿宋" w:hAnsi="仿宋" w:eastAsia="仿宋" w:cs="仿宋"/>
                <w:b/>
                <w:bCs/>
                <w:color w:val="000000" w:themeColor="text1"/>
                <w:kern w:val="0"/>
                <w:sz w:val="22"/>
                <w:szCs w:val="22"/>
                <w:highlight w:val="none"/>
                <w14:textFill>
                  <w14:solidFill>
                    <w14:schemeClr w14:val="tx1"/>
                  </w14:solidFill>
                </w14:textFill>
              </w:rPr>
            </w:pPr>
            <w:r>
              <w:rPr>
                <w:rFonts w:hint="eastAsia" w:ascii="仿宋" w:hAnsi="仿宋" w:eastAsia="仿宋" w:cs="仿宋"/>
                <w:b/>
                <w:bCs/>
                <w:color w:val="000000" w:themeColor="text1"/>
                <w:kern w:val="0"/>
                <w:sz w:val="22"/>
                <w:szCs w:val="22"/>
                <w:highlight w:val="none"/>
                <w14:textFill>
                  <w14:solidFill>
                    <w14:schemeClr w14:val="tx1"/>
                  </w14:solidFill>
                </w14:textFill>
              </w:rPr>
              <w:t>数量</w:t>
            </w:r>
          </w:p>
        </w:tc>
        <w:tc>
          <w:tcPr>
            <w:tcW w:w="945" w:type="dxa"/>
            <w:shd w:val="clear" w:color="auto" w:fill="auto"/>
            <w:vAlign w:val="center"/>
          </w:tcPr>
          <w:p>
            <w:pPr>
              <w:widowControl/>
              <w:jc w:val="center"/>
              <w:rPr>
                <w:rFonts w:hint="eastAsia" w:ascii="仿宋" w:hAnsi="仿宋" w:eastAsia="仿宋" w:cs="仿宋"/>
                <w:b/>
                <w:bCs/>
                <w:color w:val="000000" w:themeColor="text1"/>
                <w:kern w:val="0"/>
                <w:sz w:val="22"/>
                <w:szCs w:val="22"/>
                <w:highlight w:val="none"/>
                <w14:textFill>
                  <w14:solidFill>
                    <w14:schemeClr w14:val="tx1"/>
                  </w14:solidFill>
                </w14:textFill>
              </w:rPr>
            </w:pPr>
            <w:r>
              <w:rPr>
                <w:rFonts w:hint="eastAsia" w:ascii="仿宋" w:hAnsi="仿宋" w:eastAsia="仿宋" w:cs="仿宋"/>
                <w:b/>
                <w:bCs/>
                <w:color w:val="000000" w:themeColor="text1"/>
                <w:kern w:val="0"/>
                <w:sz w:val="22"/>
                <w:szCs w:val="22"/>
                <w:highlight w:val="none"/>
                <w14:textFill>
                  <w14:solidFill>
                    <w14:schemeClr w14:val="tx1"/>
                  </w14:solidFill>
                </w14:textFill>
              </w:rPr>
              <w:t>服务期/工期</w:t>
            </w:r>
          </w:p>
        </w:tc>
        <w:tc>
          <w:tcPr>
            <w:tcW w:w="934" w:type="dxa"/>
            <w:shd w:val="clear" w:color="auto" w:fill="auto"/>
            <w:vAlign w:val="center"/>
          </w:tcPr>
          <w:p>
            <w:pPr>
              <w:widowControl/>
              <w:jc w:val="center"/>
              <w:rPr>
                <w:rFonts w:hint="eastAsia" w:ascii="仿宋" w:hAnsi="仿宋" w:eastAsia="仿宋" w:cs="仿宋"/>
                <w:b/>
                <w:bCs/>
                <w:color w:val="000000" w:themeColor="text1"/>
                <w:kern w:val="0"/>
                <w:sz w:val="22"/>
                <w:szCs w:val="22"/>
                <w:highlight w:val="none"/>
                <w14:textFill>
                  <w14:solidFill>
                    <w14:schemeClr w14:val="tx1"/>
                  </w14:solidFill>
                </w14:textFill>
              </w:rPr>
            </w:pPr>
            <w:r>
              <w:rPr>
                <w:rFonts w:hint="eastAsia" w:ascii="仿宋" w:hAnsi="仿宋" w:eastAsia="仿宋" w:cs="仿宋"/>
                <w:b/>
                <w:bCs/>
                <w:color w:val="000000" w:themeColor="text1"/>
                <w:kern w:val="0"/>
                <w:sz w:val="22"/>
                <w:szCs w:val="22"/>
                <w:highlight w:val="none"/>
                <w14:textFill>
                  <w14:solidFill>
                    <w14:schemeClr w14:val="tx1"/>
                  </w14:solidFill>
                </w14:textFill>
              </w:rPr>
              <w:t>质保期</w:t>
            </w:r>
          </w:p>
        </w:tc>
        <w:tc>
          <w:tcPr>
            <w:tcW w:w="1628" w:type="dxa"/>
            <w:shd w:val="clear" w:color="auto" w:fill="auto"/>
            <w:vAlign w:val="center"/>
          </w:tcPr>
          <w:p>
            <w:pPr>
              <w:widowControl/>
              <w:jc w:val="center"/>
              <w:rPr>
                <w:rFonts w:hint="default" w:ascii="仿宋" w:hAnsi="仿宋" w:eastAsia="仿宋" w:cs="仿宋"/>
                <w:b/>
                <w:bCs/>
                <w:color w:val="000000" w:themeColor="text1"/>
                <w:kern w:val="0"/>
                <w:sz w:val="22"/>
                <w:szCs w:val="22"/>
                <w:highlight w:val="none"/>
                <w:lang w:val="en-US" w:eastAsia="zh-CN"/>
                <w14:textFill>
                  <w14:solidFill>
                    <w14:schemeClr w14:val="tx1"/>
                  </w14:solidFill>
                </w14:textFill>
              </w:rPr>
            </w:pPr>
            <w:r>
              <w:rPr>
                <w:rFonts w:hint="eastAsia" w:ascii="仿宋" w:hAnsi="仿宋" w:eastAsia="仿宋" w:cs="仿宋"/>
                <w:b/>
                <w:bCs/>
                <w:color w:val="000000" w:themeColor="text1"/>
                <w:kern w:val="0"/>
                <w:sz w:val="22"/>
                <w:szCs w:val="22"/>
                <w:highlight w:val="none"/>
                <w:lang w:val="en-US" w:eastAsia="zh-CN"/>
                <w14:textFill>
                  <w14:solidFill>
                    <w14:schemeClr w14:val="tx1"/>
                  </w14:solidFill>
                </w14:textFill>
              </w:rPr>
              <w:t>专用资质要求</w:t>
            </w:r>
          </w:p>
        </w:tc>
        <w:tc>
          <w:tcPr>
            <w:tcW w:w="1985" w:type="dxa"/>
            <w:shd w:val="clear" w:color="auto" w:fill="auto"/>
            <w:vAlign w:val="center"/>
          </w:tcPr>
          <w:p>
            <w:pPr>
              <w:widowControl/>
              <w:jc w:val="center"/>
              <w:rPr>
                <w:rFonts w:hint="default" w:ascii="仿宋" w:hAnsi="仿宋" w:eastAsia="仿宋" w:cs="仿宋"/>
                <w:b/>
                <w:bCs/>
                <w:color w:val="000000" w:themeColor="text1"/>
                <w:kern w:val="0"/>
                <w:sz w:val="22"/>
                <w:szCs w:val="22"/>
                <w:highlight w:val="none"/>
                <w:lang w:val="en-US" w:eastAsia="zh-CN"/>
                <w14:textFill>
                  <w14:solidFill>
                    <w14:schemeClr w14:val="tx1"/>
                  </w14:solidFill>
                </w14:textFill>
              </w:rPr>
            </w:pPr>
            <w:r>
              <w:rPr>
                <w:rFonts w:hint="eastAsia" w:ascii="仿宋" w:hAnsi="仿宋" w:eastAsia="仿宋" w:cs="仿宋"/>
                <w:b/>
                <w:bCs/>
                <w:color w:val="000000" w:themeColor="text1"/>
                <w:kern w:val="0"/>
                <w:sz w:val="22"/>
                <w:szCs w:val="22"/>
                <w:highlight w:val="none"/>
                <w:lang w:val="en-US" w:eastAsia="zh-CN"/>
                <w14:textFill>
                  <w14:solidFill>
                    <w14:schemeClr w14:val="tx1"/>
                  </w14:solidFill>
                </w14:textFill>
              </w:rPr>
              <w:t>专用业绩要求</w:t>
            </w:r>
          </w:p>
        </w:tc>
        <w:tc>
          <w:tcPr>
            <w:tcW w:w="922" w:type="dxa"/>
            <w:shd w:val="clear" w:color="auto" w:fill="auto"/>
            <w:vAlign w:val="center"/>
          </w:tcPr>
          <w:p>
            <w:pPr>
              <w:widowControl/>
              <w:jc w:val="center"/>
              <w:rPr>
                <w:rFonts w:hint="default" w:ascii="仿宋" w:hAnsi="仿宋" w:eastAsia="仿宋" w:cs="仿宋"/>
                <w:b/>
                <w:bCs/>
                <w:color w:val="000000" w:themeColor="text1"/>
                <w:kern w:val="0"/>
                <w:sz w:val="22"/>
                <w:szCs w:val="22"/>
                <w:highlight w:val="none"/>
                <w:lang w:val="en-US" w:eastAsia="zh-CN"/>
                <w14:textFill>
                  <w14:solidFill>
                    <w14:schemeClr w14:val="tx1"/>
                  </w14:solidFill>
                </w14:textFill>
              </w:rPr>
            </w:pPr>
            <w:r>
              <w:rPr>
                <w:rFonts w:hint="eastAsia" w:ascii="仿宋" w:hAnsi="仿宋" w:eastAsia="仿宋" w:cs="仿宋"/>
                <w:b/>
                <w:bCs/>
                <w:color w:val="000000" w:themeColor="text1"/>
                <w:kern w:val="0"/>
                <w:sz w:val="22"/>
                <w:szCs w:val="22"/>
                <w:highlight w:val="none"/>
                <w:lang w:val="en-US" w:eastAsia="zh-CN"/>
                <w14:textFill>
                  <w14:solidFill>
                    <w14:schemeClr w14:val="tx1"/>
                  </w14:solidFill>
                </w14:textFill>
              </w:rPr>
              <w:t>保证金金额（万元）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3" w:hRule="atLeast"/>
          <w:jc w:val="center"/>
        </w:trPr>
        <w:tc>
          <w:tcPr>
            <w:tcW w:w="1381" w:type="dxa"/>
            <w:vMerge w:val="restart"/>
            <w:vAlign w:val="center"/>
          </w:tcPr>
          <w:p>
            <w:pPr>
              <w:widowControl/>
              <w:jc w:val="center"/>
              <w:rPr>
                <w:rFonts w:hint="eastAsia" w:ascii="仿宋" w:hAnsi="仿宋" w:eastAsia="仿宋" w:cs="仿宋"/>
                <w:color w:val="000000" w:themeColor="text1"/>
                <w:kern w:val="0"/>
                <w:sz w:val="22"/>
                <w:szCs w:val="22"/>
                <w:highlight w:val="none"/>
                <w14:textFill>
                  <w14:solidFill>
                    <w14:schemeClr w14:val="tx1"/>
                  </w14:solidFill>
                </w14:textFill>
              </w:rPr>
            </w:pPr>
            <w:r>
              <w:rPr>
                <w:rFonts w:hint="eastAsia" w:ascii="仿宋" w:hAnsi="仿宋" w:eastAsia="仿宋" w:cs="仿宋"/>
                <w:color w:val="000000" w:themeColor="text1"/>
                <w:kern w:val="0"/>
                <w:sz w:val="22"/>
                <w:szCs w:val="22"/>
                <w:highlight w:val="none"/>
                <w14:textFill>
                  <w14:solidFill>
                    <w14:schemeClr w14:val="tx1"/>
                  </w14:solidFill>
                </w14:textFill>
              </w:rPr>
              <w:t>采购精益化管理提升技术服务项目</w:t>
            </w:r>
          </w:p>
        </w:tc>
        <w:tc>
          <w:tcPr>
            <w:tcW w:w="1209" w:type="dxa"/>
            <w:shd w:val="clear" w:color="auto" w:fill="auto"/>
            <w:vAlign w:val="center"/>
          </w:tcPr>
          <w:p>
            <w:pPr>
              <w:widowControl/>
              <w:jc w:val="left"/>
              <w:rPr>
                <w:rFonts w:hint="eastAsia" w:ascii="仿宋" w:hAnsi="仿宋" w:eastAsia="仿宋" w:cs="仿宋"/>
                <w:color w:val="auto"/>
                <w:kern w:val="0"/>
                <w:sz w:val="22"/>
                <w:szCs w:val="22"/>
                <w:highlight w:val="none"/>
                <w:lang w:val="en-US" w:eastAsia="zh-CN"/>
              </w:rPr>
            </w:pPr>
            <w:r>
              <w:rPr>
                <w:rFonts w:hint="eastAsia" w:ascii="仿宋" w:hAnsi="仿宋" w:eastAsia="仿宋" w:cs="仿宋"/>
                <w:color w:val="auto"/>
                <w:kern w:val="0"/>
                <w:sz w:val="22"/>
                <w:szCs w:val="22"/>
                <w:highlight w:val="none"/>
              </w:rPr>
              <w:t>优化“好中选优”采购策略</w:t>
            </w:r>
          </w:p>
        </w:tc>
        <w:tc>
          <w:tcPr>
            <w:tcW w:w="2444" w:type="dxa"/>
            <w:shd w:val="clear" w:color="auto" w:fill="auto"/>
            <w:vAlign w:val="center"/>
          </w:tcPr>
          <w:p>
            <w:pPr>
              <w:widowControl/>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针对全寿命周期成本各项成本业务现状进行逐一调研，从解构全寿命周期成本成本分项、构建全寿命周期成本测算模型、探索全寿命周期成本成果应用三阶段进行设计。应用全寿命周期成本测算模型，导入电网供应商的基础数据，计算各电压等级下各供应商设备全寿命周期成本。并形成物资采购策略优化的全寿命周期成本测算模型研究报告。</w:t>
            </w:r>
          </w:p>
        </w:tc>
        <w:tc>
          <w:tcPr>
            <w:tcW w:w="749" w:type="dxa"/>
            <w:shd w:val="clear" w:color="000000" w:fill="FFFFFF"/>
            <w:vAlign w:val="center"/>
          </w:tcPr>
          <w:p>
            <w:pPr>
              <w:widowControl/>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w:t>
            </w:r>
          </w:p>
        </w:tc>
        <w:tc>
          <w:tcPr>
            <w:tcW w:w="855" w:type="dxa"/>
            <w:shd w:val="clear" w:color="000000" w:fill="FFFFFF"/>
            <w:vAlign w:val="center"/>
          </w:tcPr>
          <w:p>
            <w:pPr>
              <w:widowControl/>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945" w:type="dxa"/>
            <w:shd w:val="clear" w:color="auto" w:fill="auto"/>
            <w:vAlign w:val="center"/>
          </w:tcPr>
          <w:p>
            <w:pPr>
              <w:widowControl/>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合同签订后</w:t>
            </w:r>
            <w:r>
              <w:rPr>
                <w:rFonts w:hint="eastAsia" w:ascii="仿宋" w:hAnsi="仿宋" w:eastAsia="仿宋" w:cs="仿宋"/>
                <w:color w:val="auto"/>
                <w:kern w:val="0"/>
                <w:sz w:val="22"/>
                <w:szCs w:val="22"/>
                <w:highlight w:val="none"/>
                <w:lang w:val="en-US" w:eastAsia="zh-CN"/>
              </w:rPr>
              <w:t>6</w:t>
            </w:r>
            <w:r>
              <w:rPr>
                <w:rFonts w:hint="eastAsia" w:ascii="仿宋" w:hAnsi="仿宋" w:eastAsia="仿宋" w:cs="仿宋"/>
                <w:color w:val="auto"/>
                <w:kern w:val="0"/>
                <w:sz w:val="22"/>
                <w:szCs w:val="22"/>
                <w:highlight w:val="none"/>
              </w:rPr>
              <w:t>0日内</w:t>
            </w:r>
          </w:p>
        </w:tc>
        <w:tc>
          <w:tcPr>
            <w:tcW w:w="934" w:type="dxa"/>
            <w:shd w:val="clear" w:color="auto" w:fill="auto"/>
            <w:vAlign w:val="center"/>
          </w:tcPr>
          <w:p>
            <w:pPr>
              <w:widowControl/>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1年</w:t>
            </w:r>
          </w:p>
        </w:tc>
        <w:tc>
          <w:tcPr>
            <w:tcW w:w="1628" w:type="dxa"/>
            <w:vMerge w:val="restart"/>
            <w:shd w:val="clear" w:color="auto" w:fill="auto"/>
            <w:vAlign w:val="center"/>
          </w:tcPr>
          <w:p>
            <w:pPr>
              <w:widowControl/>
              <w:jc w:val="left"/>
              <w:rPr>
                <w:rFonts w:hint="eastAsia" w:ascii="仿宋" w:hAnsi="仿宋" w:eastAsia="仿宋" w:cs="仿宋"/>
                <w:color w:val="auto"/>
                <w:kern w:val="0"/>
                <w:sz w:val="22"/>
                <w:szCs w:val="22"/>
                <w:highlight w:val="none"/>
                <w:lang w:val="en-US" w:eastAsia="zh-CN"/>
              </w:rPr>
            </w:pPr>
            <w:r>
              <w:rPr>
                <w:rFonts w:hint="eastAsia" w:ascii="仿宋" w:hAnsi="仿宋" w:eastAsia="仿宋" w:cs="仿宋"/>
                <w:b w:val="0"/>
                <w:bCs w:val="0"/>
                <w:color w:val="auto"/>
                <w:kern w:val="0"/>
                <w:sz w:val="22"/>
                <w:szCs w:val="22"/>
                <w:highlight w:val="none"/>
                <w:lang w:val="en-US" w:eastAsia="zh-CN"/>
              </w:rPr>
              <w:t>1.</w:t>
            </w:r>
            <w:r>
              <w:rPr>
                <w:rFonts w:hint="eastAsia" w:ascii="仿宋" w:hAnsi="仿宋" w:eastAsia="仿宋" w:cs="仿宋"/>
                <w:b w:val="0"/>
                <w:bCs w:val="0"/>
                <w:color w:val="auto"/>
                <w:kern w:val="0"/>
                <w:sz w:val="22"/>
                <w:szCs w:val="22"/>
                <w:highlight w:val="none"/>
              </w:rPr>
              <w:t>供应商要求</w:t>
            </w:r>
            <w:r>
              <w:rPr>
                <w:rFonts w:hint="eastAsia" w:ascii="仿宋" w:hAnsi="仿宋" w:eastAsia="仿宋" w:cs="仿宋"/>
                <w:b w:val="0"/>
                <w:bCs w:val="0"/>
                <w:color w:val="auto"/>
                <w:kern w:val="0"/>
                <w:sz w:val="22"/>
                <w:szCs w:val="22"/>
                <w:highlight w:val="none"/>
                <w:lang w:eastAsia="zh-CN"/>
              </w:rPr>
              <w:t>：</w:t>
            </w:r>
            <w:r>
              <w:rPr>
                <w:rFonts w:hint="eastAsia" w:ascii="仿宋" w:hAnsi="仿宋" w:eastAsia="仿宋" w:cs="仿宋"/>
                <w:color w:val="auto"/>
                <w:kern w:val="0"/>
                <w:sz w:val="22"/>
                <w:szCs w:val="22"/>
                <w:highlight w:val="none"/>
              </w:rPr>
              <w:t>供应商应具有独立订立合同的法人资格</w:t>
            </w:r>
            <w:r>
              <w:rPr>
                <w:rFonts w:hint="eastAsia" w:ascii="仿宋" w:hAnsi="仿宋" w:eastAsia="仿宋" w:cs="仿宋"/>
                <w:color w:val="auto"/>
                <w:kern w:val="0"/>
                <w:sz w:val="22"/>
                <w:szCs w:val="22"/>
                <w:highlight w:val="none"/>
                <w:lang w:val="en-US" w:eastAsia="zh-CN"/>
              </w:rPr>
              <w:t>;2.备注：</w:t>
            </w:r>
            <w:r>
              <w:rPr>
                <w:rFonts w:hint="eastAsia" w:ascii="仿宋" w:hAnsi="仿宋" w:eastAsia="仿宋" w:cs="仿宋"/>
                <w:color w:val="auto"/>
                <w:kern w:val="0"/>
                <w:sz w:val="22"/>
                <w:szCs w:val="22"/>
                <w:highlight w:val="none"/>
              </w:rPr>
              <w:t>须组建</w:t>
            </w:r>
            <w:r>
              <w:rPr>
                <w:rFonts w:hint="eastAsia" w:ascii="仿宋" w:hAnsi="仿宋" w:eastAsia="仿宋" w:cs="仿宋"/>
                <w:color w:val="auto"/>
                <w:kern w:val="0"/>
                <w:sz w:val="22"/>
                <w:szCs w:val="22"/>
                <w:highlight w:val="none"/>
                <w:lang w:val="en-US" w:eastAsia="zh-CN"/>
              </w:rPr>
              <w:t>10</w:t>
            </w:r>
            <w:r>
              <w:rPr>
                <w:rFonts w:hint="eastAsia" w:ascii="仿宋" w:hAnsi="仿宋" w:eastAsia="仿宋" w:cs="仿宋"/>
                <w:color w:val="auto"/>
                <w:kern w:val="0"/>
                <w:sz w:val="22"/>
                <w:szCs w:val="22"/>
                <w:highlight w:val="none"/>
              </w:rPr>
              <w:t>人及以上项目</w:t>
            </w:r>
            <w:r>
              <w:rPr>
                <w:rFonts w:hint="eastAsia" w:ascii="仿宋" w:hAnsi="仿宋" w:eastAsia="仿宋" w:cs="仿宋"/>
                <w:color w:val="auto"/>
                <w:kern w:val="0"/>
                <w:sz w:val="22"/>
                <w:szCs w:val="22"/>
                <w:highlight w:val="none"/>
                <w:lang w:val="en-US" w:eastAsia="zh-CN"/>
              </w:rPr>
              <w:t>核心</w:t>
            </w:r>
            <w:r>
              <w:rPr>
                <w:rFonts w:hint="eastAsia" w:ascii="仿宋" w:hAnsi="仿宋" w:eastAsia="仿宋" w:cs="仿宋"/>
                <w:color w:val="auto"/>
                <w:kern w:val="0"/>
                <w:sz w:val="22"/>
                <w:szCs w:val="22"/>
                <w:highlight w:val="none"/>
              </w:rPr>
              <w:t>团队，并提供项目团队人员自投标文件递交截止日前近三个月在本单位的社保缴纳证明。</w:t>
            </w:r>
          </w:p>
        </w:tc>
        <w:tc>
          <w:tcPr>
            <w:tcW w:w="1985" w:type="dxa"/>
            <w:vMerge w:val="restart"/>
            <w:shd w:val="clear" w:color="auto" w:fill="auto"/>
            <w:vAlign w:val="center"/>
          </w:tcPr>
          <w:p>
            <w:pPr>
              <w:widowControl/>
              <w:jc w:val="left"/>
              <w:rPr>
                <w:rFonts w:hint="eastAsia" w:ascii="仿宋" w:hAnsi="仿宋" w:eastAsia="仿宋" w:cs="仿宋"/>
                <w:color w:val="auto"/>
                <w:kern w:val="0"/>
                <w:sz w:val="22"/>
                <w:szCs w:val="22"/>
                <w:highlight w:val="none"/>
                <w:lang w:eastAsia="zh-CN"/>
              </w:rPr>
            </w:pPr>
            <w:r>
              <w:rPr>
                <w:rFonts w:hint="eastAsia" w:ascii="仿宋" w:hAnsi="仿宋" w:eastAsia="仿宋" w:cs="仿宋"/>
                <w:b w:val="0"/>
                <w:bCs w:val="0"/>
                <w:color w:val="auto"/>
                <w:kern w:val="0"/>
                <w:sz w:val="22"/>
                <w:szCs w:val="22"/>
                <w:highlight w:val="none"/>
              </w:rPr>
              <w:t>完成过与招标项目相类似的同等或以上技术要求的项目</w:t>
            </w:r>
            <w:r>
              <w:rPr>
                <w:rFonts w:hint="eastAsia" w:ascii="仿宋" w:hAnsi="仿宋" w:eastAsia="仿宋" w:cs="仿宋"/>
                <w:b w:val="0"/>
                <w:bCs w:val="0"/>
                <w:color w:val="auto"/>
                <w:kern w:val="0"/>
                <w:sz w:val="22"/>
                <w:szCs w:val="22"/>
                <w:highlight w:val="none"/>
                <w:lang w:eastAsia="zh-CN"/>
              </w:rPr>
              <w:t>：</w:t>
            </w:r>
            <w:r>
              <w:rPr>
                <w:rFonts w:hint="eastAsia" w:ascii="仿宋" w:hAnsi="仿宋" w:eastAsia="仿宋" w:cs="仿宋"/>
                <w:color w:val="auto"/>
                <w:kern w:val="0"/>
                <w:sz w:val="22"/>
                <w:szCs w:val="22"/>
                <w:highlight w:val="none"/>
                <w:lang w:val="en-US" w:eastAsia="zh-CN"/>
              </w:rPr>
              <w:t>2019年1月1日至招标采购公告发布日止，完成过</w:t>
            </w:r>
            <w:r>
              <w:rPr>
                <w:rFonts w:hint="eastAsia" w:ascii="仿宋" w:hAnsi="仿宋" w:eastAsia="仿宋" w:cs="仿宋"/>
                <w:color w:val="auto"/>
                <w:kern w:val="0"/>
                <w:sz w:val="22"/>
                <w:szCs w:val="22"/>
                <w:highlight w:val="none"/>
              </w:rPr>
              <w:t>不少于</w:t>
            </w:r>
            <w:r>
              <w:rPr>
                <w:rFonts w:hint="eastAsia" w:ascii="仿宋" w:hAnsi="仿宋" w:eastAsia="仿宋" w:cs="仿宋"/>
                <w:color w:val="auto"/>
                <w:kern w:val="0"/>
                <w:sz w:val="22"/>
                <w:szCs w:val="22"/>
                <w:highlight w:val="none"/>
                <w:lang w:val="en-US" w:eastAsia="zh-CN"/>
              </w:rPr>
              <w:t>3项信息化技术服务业绩，合同额累计不低于150万。注：业绩必须提供对应的合同复印件。</w:t>
            </w:r>
          </w:p>
        </w:tc>
        <w:tc>
          <w:tcPr>
            <w:tcW w:w="922" w:type="dxa"/>
            <w:vMerge w:val="restart"/>
            <w:shd w:val="clear" w:color="auto" w:fill="auto"/>
            <w:vAlign w:val="center"/>
          </w:tcPr>
          <w:p>
            <w:pPr>
              <w:widowControl/>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3" w:hRule="atLeast"/>
          <w:jc w:val="center"/>
        </w:trPr>
        <w:tc>
          <w:tcPr>
            <w:tcW w:w="1381" w:type="dxa"/>
            <w:vMerge w:val="continue"/>
            <w:vAlign w:val="center"/>
          </w:tcPr>
          <w:p>
            <w:pPr>
              <w:widowControl/>
              <w:jc w:val="center"/>
              <w:rPr>
                <w:rFonts w:hint="eastAsia" w:ascii="仿宋" w:hAnsi="仿宋" w:eastAsia="仿宋" w:cs="仿宋"/>
                <w:color w:val="000000" w:themeColor="text1"/>
                <w:kern w:val="0"/>
                <w:sz w:val="22"/>
                <w:szCs w:val="22"/>
                <w:highlight w:val="none"/>
                <w14:textFill>
                  <w14:solidFill>
                    <w14:schemeClr w14:val="tx1"/>
                  </w14:solidFill>
                </w14:textFill>
              </w:rPr>
            </w:pPr>
          </w:p>
        </w:tc>
        <w:tc>
          <w:tcPr>
            <w:tcW w:w="1209" w:type="dxa"/>
            <w:shd w:val="clear" w:color="auto" w:fill="auto"/>
            <w:vAlign w:val="center"/>
          </w:tcPr>
          <w:p>
            <w:pPr>
              <w:widowControl/>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构建全网采购数据统计分析管理体系</w:t>
            </w:r>
          </w:p>
        </w:tc>
        <w:tc>
          <w:tcPr>
            <w:tcW w:w="2444" w:type="dxa"/>
            <w:shd w:val="clear" w:color="auto" w:fill="auto"/>
            <w:vAlign w:val="center"/>
          </w:tcPr>
          <w:p>
            <w:pPr>
              <w:widowControl/>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以现代智慧供应链深化运营为主线，对</w:t>
            </w:r>
            <w:r>
              <w:rPr>
                <w:rFonts w:hint="eastAsia" w:ascii="仿宋" w:hAnsi="仿宋" w:eastAsia="仿宋" w:cs="仿宋"/>
                <w:b w:val="0"/>
                <w:bCs w:val="0"/>
                <w:color w:val="auto"/>
                <w:kern w:val="0"/>
                <w:sz w:val="22"/>
                <w:szCs w:val="22"/>
                <w:highlight w:val="none"/>
              </w:rPr>
              <w:t>现有供应链运营机制，当前职责分工，组织方式以及管理模式等进行调研，通过深入分析，构建供应链运营管理体系，建立长期有效的供应链运营工作机制，并形成体系研究方案。</w:t>
            </w:r>
          </w:p>
        </w:tc>
        <w:tc>
          <w:tcPr>
            <w:tcW w:w="749" w:type="dxa"/>
            <w:shd w:val="clear" w:color="000000" w:fill="FFFFFF"/>
            <w:vAlign w:val="center"/>
          </w:tcPr>
          <w:p>
            <w:pPr>
              <w:widowControl/>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w:t>
            </w:r>
          </w:p>
        </w:tc>
        <w:tc>
          <w:tcPr>
            <w:tcW w:w="855" w:type="dxa"/>
            <w:shd w:val="clear" w:color="000000" w:fill="FFFFFF"/>
            <w:vAlign w:val="center"/>
          </w:tcPr>
          <w:p>
            <w:pPr>
              <w:widowControl/>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945" w:type="dxa"/>
            <w:shd w:val="clear" w:color="auto" w:fill="auto"/>
            <w:vAlign w:val="center"/>
          </w:tcPr>
          <w:p>
            <w:pPr>
              <w:widowControl/>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合同签订后</w:t>
            </w:r>
            <w:r>
              <w:rPr>
                <w:rFonts w:hint="eastAsia" w:ascii="仿宋" w:hAnsi="仿宋" w:eastAsia="仿宋" w:cs="仿宋"/>
                <w:color w:val="auto"/>
                <w:kern w:val="0"/>
                <w:sz w:val="22"/>
                <w:szCs w:val="22"/>
                <w:highlight w:val="none"/>
                <w:lang w:val="en-US" w:eastAsia="zh-CN"/>
              </w:rPr>
              <w:t>6</w:t>
            </w:r>
            <w:r>
              <w:rPr>
                <w:rFonts w:hint="eastAsia" w:ascii="仿宋" w:hAnsi="仿宋" w:eastAsia="仿宋" w:cs="仿宋"/>
                <w:color w:val="auto"/>
                <w:kern w:val="0"/>
                <w:sz w:val="22"/>
                <w:szCs w:val="22"/>
                <w:highlight w:val="none"/>
              </w:rPr>
              <w:t>0日内</w:t>
            </w:r>
          </w:p>
        </w:tc>
        <w:tc>
          <w:tcPr>
            <w:tcW w:w="934" w:type="dxa"/>
            <w:shd w:val="clear" w:color="auto" w:fill="auto"/>
            <w:vAlign w:val="center"/>
          </w:tcPr>
          <w:p>
            <w:pPr>
              <w:widowControl/>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1年</w:t>
            </w:r>
          </w:p>
        </w:tc>
        <w:tc>
          <w:tcPr>
            <w:tcW w:w="1628" w:type="dxa"/>
            <w:vMerge w:val="continue"/>
            <w:shd w:val="clear" w:color="auto" w:fill="auto"/>
            <w:vAlign w:val="center"/>
          </w:tcPr>
          <w:p>
            <w:pPr>
              <w:widowControl/>
              <w:jc w:val="left"/>
              <w:rPr>
                <w:rFonts w:hint="eastAsia" w:ascii="仿宋" w:hAnsi="仿宋" w:eastAsia="仿宋" w:cs="仿宋"/>
                <w:color w:val="auto"/>
                <w:kern w:val="0"/>
                <w:sz w:val="22"/>
                <w:szCs w:val="22"/>
                <w:highlight w:val="none"/>
              </w:rPr>
            </w:pPr>
          </w:p>
        </w:tc>
        <w:tc>
          <w:tcPr>
            <w:tcW w:w="1985" w:type="dxa"/>
            <w:vMerge w:val="continue"/>
            <w:shd w:val="clear" w:color="auto" w:fill="auto"/>
            <w:vAlign w:val="center"/>
          </w:tcPr>
          <w:p>
            <w:pPr>
              <w:widowControl/>
              <w:jc w:val="left"/>
              <w:rPr>
                <w:rFonts w:hint="eastAsia" w:ascii="仿宋" w:hAnsi="仿宋" w:eastAsia="仿宋" w:cs="仿宋"/>
                <w:color w:val="auto"/>
                <w:kern w:val="0"/>
                <w:sz w:val="22"/>
                <w:szCs w:val="22"/>
                <w:highlight w:val="none"/>
              </w:rPr>
            </w:pPr>
          </w:p>
        </w:tc>
        <w:tc>
          <w:tcPr>
            <w:tcW w:w="922" w:type="dxa"/>
            <w:vMerge w:val="continue"/>
            <w:shd w:val="clear" w:color="auto" w:fill="auto"/>
            <w:vAlign w:val="center"/>
          </w:tcPr>
          <w:p>
            <w:pPr>
              <w:widowControl/>
              <w:jc w:val="left"/>
              <w:rPr>
                <w:rFonts w:hint="eastAsia" w:ascii="仿宋" w:hAnsi="仿宋" w:eastAsia="仿宋" w:cs="仿宋"/>
                <w:color w:val="auto"/>
                <w:kern w:val="0"/>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3" w:hRule="atLeast"/>
          <w:jc w:val="center"/>
        </w:trPr>
        <w:tc>
          <w:tcPr>
            <w:tcW w:w="1381" w:type="dxa"/>
            <w:vMerge w:val="continue"/>
            <w:vAlign w:val="center"/>
          </w:tcPr>
          <w:p>
            <w:pPr>
              <w:widowControl/>
              <w:jc w:val="center"/>
              <w:rPr>
                <w:rFonts w:hint="eastAsia" w:ascii="仿宋" w:hAnsi="仿宋" w:eastAsia="仿宋" w:cs="仿宋"/>
                <w:color w:val="000000" w:themeColor="text1"/>
                <w:kern w:val="0"/>
                <w:sz w:val="22"/>
                <w:szCs w:val="22"/>
                <w:highlight w:val="none"/>
                <w14:textFill>
                  <w14:solidFill>
                    <w14:schemeClr w14:val="tx1"/>
                  </w14:solidFill>
                </w14:textFill>
              </w:rPr>
            </w:pPr>
          </w:p>
        </w:tc>
        <w:tc>
          <w:tcPr>
            <w:tcW w:w="1209" w:type="dxa"/>
            <w:shd w:val="clear" w:color="auto" w:fill="auto"/>
            <w:vAlign w:val="center"/>
          </w:tcPr>
          <w:p>
            <w:pPr>
              <w:widowControl/>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梳理和设计智能采购板块架构</w:t>
            </w:r>
          </w:p>
        </w:tc>
        <w:tc>
          <w:tcPr>
            <w:tcW w:w="2444" w:type="dxa"/>
            <w:shd w:val="clear" w:color="auto" w:fill="auto"/>
            <w:vAlign w:val="center"/>
          </w:tcPr>
          <w:p>
            <w:pPr>
              <w:widowControl/>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针对智能采购进行业务调研与需求分析，开展业务架构设计、应用架构设计、数据架构设计等工作，编写三大架构分析报告，具体介绍工作背景、工作目标、工作思路，阐述信息设计标准等方面的主要做法，描述智能采购板块的架构服务内容。</w:t>
            </w:r>
          </w:p>
        </w:tc>
        <w:tc>
          <w:tcPr>
            <w:tcW w:w="749" w:type="dxa"/>
            <w:shd w:val="clear" w:color="000000" w:fill="FFFFFF"/>
            <w:vAlign w:val="center"/>
          </w:tcPr>
          <w:p>
            <w:pPr>
              <w:widowControl/>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w:t>
            </w:r>
          </w:p>
        </w:tc>
        <w:tc>
          <w:tcPr>
            <w:tcW w:w="855" w:type="dxa"/>
            <w:shd w:val="clear" w:color="000000" w:fill="FFFFFF"/>
            <w:vAlign w:val="center"/>
          </w:tcPr>
          <w:p>
            <w:pPr>
              <w:widowControl/>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945" w:type="dxa"/>
            <w:shd w:val="clear" w:color="auto" w:fill="auto"/>
            <w:vAlign w:val="center"/>
          </w:tcPr>
          <w:p>
            <w:pPr>
              <w:widowControl/>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合同签订后</w:t>
            </w:r>
            <w:r>
              <w:rPr>
                <w:rFonts w:hint="eastAsia" w:ascii="仿宋" w:hAnsi="仿宋" w:eastAsia="仿宋" w:cs="仿宋"/>
                <w:color w:val="auto"/>
                <w:kern w:val="0"/>
                <w:sz w:val="22"/>
                <w:szCs w:val="22"/>
                <w:highlight w:val="none"/>
                <w:lang w:val="en-US" w:eastAsia="zh-CN"/>
              </w:rPr>
              <w:t>6</w:t>
            </w:r>
            <w:r>
              <w:rPr>
                <w:rFonts w:hint="eastAsia" w:ascii="仿宋" w:hAnsi="仿宋" w:eastAsia="仿宋" w:cs="仿宋"/>
                <w:color w:val="auto"/>
                <w:kern w:val="0"/>
                <w:sz w:val="22"/>
                <w:szCs w:val="22"/>
                <w:highlight w:val="none"/>
              </w:rPr>
              <w:t>0日内</w:t>
            </w:r>
          </w:p>
        </w:tc>
        <w:tc>
          <w:tcPr>
            <w:tcW w:w="934" w:type="dxa"/>
            <w:shd w:val="clear" w:color="auto" w:fill="auto"/>
            <w:vAlign w:val="center"/>
          </w:tcPr>
          <w:p>
            <w:pPr>
              <w:widowControl/>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1年</w:t>
            </w:r>
          </w:p>
        </w:tc>
        <w:tc>
          <w:tcPr>
            <w:tcW w:w="1628" w:type="dxa"/>
            <w:vMerge w:val="continue"/>
            <w:shd w:val="clear" w:color="auto" w:fill="auto"/>
            <w:vAlign w:val="center"/>
          </w:tcPr>
          <w:p>
            <w:pPr>
              <w:widowControl/>
              <w:jc w:val="left"/>
              <w:rPr>
                <w:rFonts w:hint="eastAsia" w:ascii="仿宋" w:hAnsi="仿宋" w:eastAsia="仿宋" w:cs="仿宋"/>
                <w:color w:val="auto"/>
                <w:kern w:val="0"/>
                <w:sz w:val="22"/>
                <w:szCs w:val="22"/>
                <w:highlight w:val="none"/>
              </w:rPr>
            </w:pPr>
          </w:p>
        </w:tc>
        <w:tc>
          <w:tcPr>
            <w:tcW w:w="1985" w:type="dxa"/>
            <w:vMerge w:val="continue"/>
            <w:shd w:val="clear" w:color="auto" w:fill="auto"/>
            <w:vAlign w:val="center"/>
          </w:tcPr>
          <w:p>
            <w:pPr>
              <w:widowControl/>
              <w:jc w:val="left"/>
              <w:rPr>
                <w:rFonts w:hint="eastAsia" w:ascii="仿宋" w:hAnsi="仿宋" w:eastAsia="仿宋" w:cs="仿宋"/>
                <w:color w:val="auto"/>
                <w:kern w:val="0"/>
                <w:sz w:val="22"/>
                <w:szCs w:val="22"/>
                <w:highlight w:val="none"/>
              </w:rPr>
            </w:pPr>
          </w:p>
        </w:tc>
        <w:tc>
          <w:tcPr>
            <w:tcW w:w="922" w:type="dxa"/>
            <w:vMerge w:val="continue"/>
            <w:shd w:val="clear" w:color="auto" w:fill="auto"/>
            <w:vAlign w:val="center"/>
          </w:tcPr>
          <w:p>
            <w:pPr>
              <w:widowControl/>
              <w:jc w:val="left"/>
              <w:rPr>
                <w:rFonts w:hint="eastAsia" w:ascii="仿宋" w:hAnsi="仿宋" w:eastAsia="仿宋" w:cs="仿宋"/>
                <w:color w:val="auto"/>
                <w:kern w:val="0"/>
                <w:sz w:val="22"/>
                <w:szCs w:val="22"/>
                <w:highlight w:val="none"/>
              </w:rPr>
            </w:pPr>
          </w:p>
        </w:tc>
      </w:tr>
    </w:tbl>
    <w:p>
      <w:pPr>
        <w:pStyle w:val="17"/>
        <w:ind w:left="-357" w:leftChars="-170" w:firstLine="440"/>
        <w:outlineLvl w:val="0"/>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具体服务不局限于上述需求一览表。应包括上述服务相关延伸服务及产品，类似升级服务及相关产品。</w:t>
      </w:r>
    </w:p>
    <w:p>
      <w:pPr>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备注：</w:t>
      </w:r>
    </w:p>
    <w:p>
      <w:pPr>
        <w:rPr>
          <w:rFonts w:hint="eastAsia" w:ascii="仿宋" w:hAnsi="仿宋" w:eastAsia="仿宋" w:cs="仿宋"/>
          <w:color w:val="000000" w:themeColor="text1"/>
          <w:sz w:val="22"/>
          <w:szCs w:val="22"/>
          <w:highlight w:val="none"/>
          <w14:textFill>
            <w14:solidFill>
              <w14:schemeClr w14:val="tx1"/>
            </w14:solidFill>
          </w14:textFill>
        </w:rPr>
      </w:pPr>
      <w:r>
        <w:rPr>
          <w:rFonts w:hint="eastAsia" w:ascii="仿宋" w:hAnsi="仿宋" w:eastAsia="仿宋" w:cs="仿宋"/>
          <w:color w:val="000000" w:themeColor="text1"/>
          <w:sz w:val="22"/>
          <w:szCs w:val="22"/>
          <w:highlight w:val="none"/>
          <w14:textFill>
            <w14:solidFill>
              <w14:schemeClr w14:val="tx1"/>
            </w14:solidFill>
          </w14:textFill>
        </w:rPr>
        <w:t>1.取得《国家电网有限公司集中规模招标采购供应商资质能力核实证明》（以下简称《核实证明》）的投标人，应按要求使用该《核实证明》。《核实证明》含有的业绩、试验报告不能满足招标文件要求的，需要提供满足要求的业绩、试验报告等证明材料；未取得《核实证明》的，投标人需要提供对应支持证明材料。</w:t>
      </w:r>
    </w:p>
    <w:p>
      <w:pPr>
        <w:rPr>
          <w:highlight w:val="none"/>
        </w:rPr>
      </w:pPr>
      <w:r>
        <w:rPr>
          <w:rFonts w:hint="eastAsia" w:ascii="仿宋" w:hAnsi="仿宋" w:eastAsia="仿宋" w:cs="仿宋"/>
          <w:color w:val="000000" w:themeColor="text1"/>
          <w:sz w:val="22"/>
          <w:szCs w:val="22"/>
          <w:highlight w:val="none"/>
          <w14:textFill>
            <w14:solidFill>
              <w14:schemeClr w14:val="tx1"/>
            </w14:solidFill>
          </w14:textFill>
        </w:rPr>
        <w:t>2.投标文件中提供的证明材料复印件应复印清晰、可辨认且不得遮盖、涂抹，否则视为无效。</w:t>
      </w:r>
    </w:p>
    <w:sectPr>
      <w:footerReference r:id="rId3" w:type="default"/>
      <w:pgSz w:w="16838" w:h="11906" w:orient="landscape"/>
      <w:pgMar w:top="1797" w:right="1440" w:bottom="1797"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w:rPr>
        <w:b/>
        <w:sz w:val="24"/>
        <w:szCs w:val="24"/>
      </w:rPr>
      <w:fldChar w:fldCharType="begin"/>
    </w:r>
    <w:r>
      <w:rPr>
        <w:b/>
      </w:rPr>
      <w:instrText xml:space="preserve">PAGE</w:instrText>
    </w:r>
    <w:r>
      <w:rPr>
        <w:b/>
        <w:sz w:val="24"/>
        <w:szCs w:val="24"/>
      </w:rPr>
      <w:fldChar w:fldCharType="separate"/>
    </w:r>
    <w:r>
      <w:rPr>
        <w:b/>
      </w:rPr>
      <w:t>6</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6</w:t>
    </w:r>
    <w:r>
      <w:rPr>
        <w:b/>
        <w:sz w:val="24"/>
        <w:szCs w:val="24"/>
      </w:rPr>
      <w:fldChar w:fldCharType="end"/>
    </w:r>
  </w:p>
  <w:p>
    <w:pPr>
      <w:pStyle w:val="6"/>
      <w:ind w:right="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M1NjU5NTU1OTBhZTRiN2E3MWZhYWU2MjFkNTEwNzkifQ=="/>
  </w:docVars>
  <w:rsids>
    <w:rsidRoot w:val="00F07759"/>
    <w:rsid w:val="00087175"/>
    <w:rsid w:val="000E5393"/>
    <w:rsid w:val="00127753"/>
    <w:rsid w:val="001A2D7D"/>
    <w:rsid w:val="001A7EC4"/>
    <w:rsid w:val="001E6907"/>
    <w:rsid w:val="00294ED8"/>
    <w:rsid w:val="0030147E"/>
    <w:rsid w:val="003359FD"/>
    <w:rsid w:val="00385E05"/>
    <w:rsid w:val="0040005E"/>
    <w:rsid w:val="00424F24"/>
    <w:rsid w:val="00442C7F"/>
    <w:rsid w:val="004870F5"/>
    <w:rsid w:val="004D392E"/>
    <w:rsid w:val="00504B46"/>
    <w:rsid w:val="00617E09"/>
    <w:rsid w:val="0066333F"/>
    <w:rsid w:val="006D7DD1"/>
    <w:rsid w:val="006F7A5B"/>
    <w:rsid w:val="00750353"/>
    <w:rsid w:val="00787BCF"/>
    <w:rsid w:val="00824FC9"/>
    <w:rsid w:val="00831AA6"/>
    <w:rsid w:val="008C6072"/>
    <w:rsid w:val="009009E1"/>
    <w:rsid w:val="0097230A"/>
    <w:rsid w:val="009B4864"/>
    <w:rsid w:val="00A833A8"/>
    <w:rsid w:val="00AD036A"/>
    <w:rsid w:val="00AE02E9"/>
    <w:rsid w:val="00AE38F5"/>
    <w:rsid w:val="00B83C31"/>
    <w:rsid w:val="00C035AE"/>
    <w:rsid w:val="00C96F18"/>
    <w:rsid w:val="00CF632D"/>
    <w:rsid w:val="00DA120B"/>
    <w:rsid w:val="00DE53A1"/>
    <w:rsid w:val="00EA2389"/>
    <w:rsid w:val="00F05C60"/>
    <w:rsid w:val="00F06270"/>
    <w:rsid w:val="00F07759"/>
    <w:rsid w:val="00F74A14"/>
    <w:rsid w:val="012208A0"/>
    <w:rsid w:val="013B39D5"/>
    <w:rsid w:val="01B506E8"/>
    <w:rsid w:val="02381A41"/>
    <w:rsid w:val="024E0501"/>
    <w:rsid w:val="042B3D4F"/>
    <w:rsid w:val="04E72BB1"/>
    <w:rsid w:val="05CA21F9"/>
    <w:rsid w:val="05D654CD"/>
    <w:rsid w:val="06CD2089"/>
    <w:rsid w:val="089F25C6"/>
    <w:rsid w:val="09002B02"/>
    <w:rsid w:val="0961311E"/>
    <w:rsid w:val="0AF34D05"/>
    <w:rsid w:val="0B42259C"/>
    <w:rsid w:val="0B6B6322"/>
    <w:rsid w:val="0C6745F0"/>
    <w:rsid w:val="0C6B6663"/>
    <w:rsid w:val="0CD22C69"/>
    <w:rsid w:val="0D0269A1"/>
    <w:rsid w:val="0D7E729B"/>
    <w:rsid w:val="0F2E4A6E"/>
    <w:rsid w:val="0F6D0760"/>
    <w:rsid w:val="0F8A7B0F"/>
    <w:rsid w:val="10002197"/>
    <w:rsid w:val="101073BE"/>
    <w:rsid w:val="106629F6"/>
    <w:rsid w:val="108D7E4D"/>
    <w:rsid w:val="109825F0"/>
    <w:rsid w:val="10DC408D"/>
    <w:rsid w:val="12065612"/>
    <w:rsid w:val="121F3C87"/>
    <w:rsid w:val="1395152B"/>
    <w:rsid w:val="14263A91"/>
    <w:rsid w:val="14DD7437"/>
    <w:rsid w:val="14E7063D"/>
    <w:rsid w:val="14ED5535"/>
    <w:rsid w:val="152109A0"/>
    <w:rsid w:val="15D93023"/>
    <w:rsid w:val="15DE5ED6"/>
    <w:rsid w:val="164C4D8E"/>
    <w:rsid w:val="172C17A9"/>
    <w:rsid w:val="179A6928"/>
    <w:rsid w:val="17A97DE2"/>
    <w:rsid w:val="17DB5B4C"/>
    <w:rsid w:val="187022FD"/>
    <w:rsid w:val="18EA3261"/>
    <w:rsid w:val="18FD3F6F"/>
    <w:rsid w:val="19096657"/>
    <w:rsid w:val="19A5125A"/>
    <w:rsid w:val="1A2D70B4"/>
    <w:rsid w:val="1A306F84"/>
    <w:rsid w:val="1A833EC2"/>
    <w:rsid w:val="1ABB017E"/>
    <w:rsid w:val="1B75596D"/>
    <w:rsid w:val="1B8062A2"/>
    <w:rsid w:val="1CD62B36"/>
    <w:rsid w:val="1DAE7DCF"/>
    <w:rsid w:val="1DDB35E0"/>
    <w:rsid w:val="1E1038E4"/>
    <w:rsid w:val="1E9820B0"/>
    <w:rsid w:val="1EFA5CD2"/>
    <w:rsid w:val="1F3969C0"/>
    <w:rsid w:val="1F4262AB"/>
    <w:rsid w:val="206378E1"/>
    <w:rsid w:val="20AC270D"/>
    <w:rsid w:val="20AF1FA9"/>
    <w:rsid w:val="211F423F"/>
    <w:rsid w:val="217D69B9"/>
    <w:rsid w:val="22343EB9"/>
    <w:rsid w:val="22901FF9"/>
    <w:rsid w:val="2299232C"/>
    <w:rsid w:val="22F0607C"/>
    <w:rsid w:val="233D2C3A"/>
    <w:rsid w:val="23492DD2"/>
    <w:rsid w:val="23804CB9"/>
    <w:rsid w:val="23A60508"/>
    <w:rsid w:val="24401449"/>
    <w:rsid w:val="25353F86"/>
    <w:rsid w:val="253B43C5"/>
    <w:rsid w:val="2634607D"/>
    <w:rsid w:val="2671336B"/>
    <w:rsid w:val="27025F5B"/>
    <w:rsid w:val="2761134E"/>
    <w:rsid w:val="28185678"/>
    <w:rsid w:val="28443B5F"/>
    <w:rsid w:val="28C65CBE"/>
    <w:rsid w:val="28C860F7"/>
    <w:rsid w:val="29375116"/>
    <w:rsid w:val="298C5094"/>
    <w:rsid w:val="29B70890"/>
    <w:rsid w:val="29D16594"/>
    <w:rsid w:val="29FD2DF1"/>
    <w:rsid w:val="2A205B87"/>
    <w:rsid w:val="2A224219"/>
    <w:rsid w:val="2AF30D64"/>
    <w:rsid w:val="2B572B47"/>
    <w:rsid w:val="2B8C730A"/>
    <w:rsid w:val="2CAB1F8D"/>
    <w:rsid w:val="2D327F6B"/>
    <w:rsid w:val="2DFF4C45"/>
    <w:rsid w:val="2E0C1AB8"/>
    <w:rsid w:val="2E2D7AE9"/>
    <w:rsid w:val="2E3D58F0"/>
    <w:rsid w:val="2F380C61"/>
    <w:rsid w:val="2FB322B7"/>
    <w:rsid w:val="2FC84E3A"/>
    <w:rsid w:val="31A61791"/>
    <w:rsid w:val="31C56881"/>
    <w:rsid w:val="31D73940"/>
    <w:rsid w:val="33B10D29"/>
    <w:rsid w:val="34766267"/>
    <w:rsid w:val="351A272F"/>
    <w:rsid w:val="353C01A6"/>
    <w:rsid w:val="355A3E14"/>
    <w:rsid w:val="35E05426"/>
    <w:rsid w:val="37685518"/>
    <w:rsid w:val="37764DB2"/>
    <w:rsid w:val="37775DB9"/>
    <w:rsid w:val="391D3D61"/>
    <w:rsid w:val="395150CA"/>
    <w:rsid w:val="3A8D15F7"/>
    <w:rsid w:val="3B8E718B"/>
    <w:rsid w:val="3B940012"/>
    <w:rsid w:val="3BA02539"/>
    <w:rsid w:val="3BD715E3"/>
    <w:rsid w:val="3D6101B3"/>
    <w:rsid w:val="3DAA36C5"/>
    <w:rsid w:val="3F506B7A"/>
    <w:rsid w:val="3FA45657"/>
    <w:rsid w:val="3FC424E1"/>
    <w:rsid w:val="404B3A6E"/>
    <w:rsid w:val="40687B37"/>
    <w:rsid w:val="40884242"/>
    <w:rsid w:val="40950B98"/>
    <w:rsid w:val="40CF0912"/>
    <w:rsid w:val="41D73C80"/>
    <w:rsid w:val="431C5F81"/>
    <w:rsid w:val="43225F59"/>
    <w:rsid w:val="43426EC1"/>
    <w:rsid w:val="4369452A"/>
    <w:rsid w:val="438644AA"/>
    <w:rsid w:val="43CA7942"/>
    <w:rsid w:val="44151069"/>
    <w:rsid w:val="45071372"/>
    <w:rsid w:val="451F48EE"/>
    <w:rsid w:val="454F66D8"/>
    <w:rsid w:val="4558609E"/>
    <w:rsid w:val="457A2E3A"/>
    <w:rsid w:val="45855E35"/>
    <w:rsid w:val="45F31230"/>
    <w:rsid w:val="464F52D7"/>
    <w:rsid w:val="46E46B3F"/>
    <w:rsid w:val="47111A67"/>
    <w:rsid w:val="479478A0"/>
    <w:rsid w:val="49375E89"/>
    <w:rsid w:val="49E00010"/>
    <w:rsid w:val="4AE25091"/>
    <w:rsid w:val="4B991A97"/>
    <w:rsid w:val="4BE1690E"/>
    <w:rsid w:val="4C024CD6"/>
    <w:rsid w:val="4DE507C2"/>
    <w:rsid w:val="4E39053A"/>
    <w:rsid w:val="4F664640"/>
    <w:rsid w:val="4FB764FC"/>
    <w:rsid w:val="503E2A09"/>
    <w:rsid w:val="504E07CA"/>
    <w:rsid w:val="505912F5"/>
    <w:rsid w:val="50637B38"/>
    <w:rsid w:val="506C051D"/>
    <w:rsid w:val="50F316BC"/>
    <w:rsid w:val="527E4FBE"/>
    <w:rsid w:val="534B5D10"/>
    <w:rsid w:val="53EE205C"/>
    <w:rsid w:val="551A14A5"/>
    <w:rsid w:val="55FD043C"/>
    <w:rsid w:val="56BF5AA4"/>
    <w:rsid w:val="571B1C31"/>
    <w:rsid w:val="57C03084"/>
    <w:rsid w:val="57C2358D"/>
    <w:rsid w:val="585F7DC6"/>
    <w:rsid w:val="58D17D48"/>
    <w:rsid w:val="59064B47"/>
    <w:rsid w:val="593B37FF"/>
    <w:rsid w:val="5A1C5082"/>
    <w:rsid w:val="5A6C6EC0"/>
    <w:rsid w:val="5AA159FD"/>
    <w:rsid w:val="5AB31E7E"/>
    <w:rsid w:val="5AC9471C"/>
    <w:rsid w:val="5B424D5F"/>
    <w:rsid w:val="5B49165D"/>
    <w:rsid w:val="5B8A1302"/>
    <w:rsid w:val="5C386706"/>
    <w:rsid w:val="5C837F8B"/>
    <w:rsid w:val="5C8A31FB"/>
    <w:rsid w:val="5D245AC0"/>
    <w:rsid w:val="5DCD6ED7"/>
    <w:rsid w:val="5DF94D6D"/>
    <w:rsid w:val="5E12718B"/>
    <w:rsid w:val="5F4D0687"/>
    <w:rsid w:val="5F516D76"/>
    <w:rsid w:val="60602346"/>
    <w:rsid w:val="60C1653D"/>
    <w:rsid w:val="61032FD2"/>
    <w:rsid w:val="61390A98"/>
    <w:rsid w:val="625A0266"/>
    <w:rsid w:val="626B719B"/>
    <w:rsid w:val="62744A27"/>
    <w:rsid w:val="630C2E3C"/>
    <w:rsid w:val="635F160D"/>
    <w:rsid w:val="639C3A88"/>
    <w:rsid w:val="641106C5"/>
    <w:rsid w:val="648A5168"/>
    <w:rsid w:val="65722563"/>
    <w:rsid w:val="660A1885"/>
    <w:rsid w:val="66E74C08"/>
    <w:rsid w:val="67A46833"/>
    <w:rsid w:val="6864098F"/>
    <w:rsid w:val="68A6679F"/>
    <w:rsid w:val="68A9611A"/>
    <w:rsid w:val="6943445A"/>
    <w:rsid w:val="69E947AF"/>
    <w:rsid w:val="6A77304C"/>
    <w:rsid w:val="6A8C16D9"/>
    <w:rsid w:val="6AF532DC"/>
    <w:rsid w:val="6AF91AF5"/>
    <w:rsid w:val="6B8321D1"/>
    <w:rsid w:val="6C1B4FD6"/>
    <w:rsid w:val="6C224C9F"/>
    <w:rsid w:val="6C6962E2"/>
    <w:rsid w:val="6D0039E6"/>
    <w:rsid w:val="6DFF121E"/>
    <w:rsid w:val="6E4B1CB1"/>
    <w:rsid w:val="6E716C56"/>
    <w:rsid w:val="6EF2290D"/>
    <w:rsid w:val="6FD31DFE"/>
    <w:rsid w:val="7019449F"/>
    <w:rsid w:val="705B05D0"/>
    <w:rsid w:val="708B638F"/>
    <w:rsid w:val="708E04C5"/>
    <w:rsid w:val="709D57C8"/>
    <w:rsid w:val="70F4233C"/>
    <w:rsid w:val="70FD5A41"/>
    <w:rsid w:val="71AA67BF"/>
    <w:rsid w:val="71E6726A"/>
    <w:rsid w:val="71FE2EF0"/>
    <w:rsid w:val="732433BA"/>
    <w:rsid w:val="733C35D5"/>
    <w:rsid w:val="73692775"/>
    <w:rsid w:val="73E233A6"/>
    <w:rsid w:val="74400F6C"/>
    <w:rsid w:val="748F4ADC"/>
    <w:rsid w:val="751A7727"/>
    <w:rsid w:val="75427BF8"/>
    <w:rsid w:val="756538F4"/>
    <w:rsid w:val="7667358E"/>
    <w:rsid w:val="7895679E"/>
    <w:rsid w:val="78A22C2A"/>
    <w:rsid w:val="78E5635C"/>
    <w:rsid w:val="792B0B52"/>
    <w:rsid w:val="7AA82E41"/>
    <w:rsid w:val="7BD81B9B"/>
    <w:rsid w:val="7CA47EC1"/>
    <w:rsid w:val="7E7F5A81"/>
    <w:rsid w:val="7F690716"/>
    <w:rsid w:val="7FBD26D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qFormat="1" w:uiPriority="99" w:semiHidden="0"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13"/>
    <w:qFormat/>
    <w:uiPriority w:val="0"/>
    <w:pPr>
      <w:jc w:val="center"/>
      <w:outlineLvl w:val="0"/>
    </w:pPr>
    <w:rPr>
      <w:b/>
      <w:kern w:val="44"/>
      <w:sz w:val="44"/>
    </w:rPr>
  </w:style>
  <w:style w:type="paragraph" w:styleId="3">
    <w:name w:val="heading 2"/>
    <w:basedOn w:val="1"/>
    <w:next w:val="1"/>
    <w:qFormat/>
    <w:uiPriority w:val="0"/>
    <w:pPr>
      <w:keepNext/>
      <w:keepLines/>
      <w:topLinePunct/>
      <w:adjustRightInd w:val="0"/>
      <w:snapToGrid w:val="0"/>
      <w:spacing w:beforeLines="80" w:afterLines="80"/>
      <w:outlineLvl w:val="1"/>
    </w:pPr>
    <w:rPr>
      <w:rFonts w:ascii="Arial" w:hAnsi="Arial" w:eastAsia="黑体"/>
    </w:rPr>
  </w:style>
  <w:style w:type="character" w:default="1" w:styleId="9">
    <w:name w:val="Default Paragraph Font"/>
    <w:semiHidden/>
    <w:unhideWhenUsed/>
    <w:qFormat/>
    <w:uiPriority w:val="1"/>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styleId="4">
    <w:name w:val="index 4"/>
    <w:basedOn w:val="1"/>
    <w:next w:val="1"/>
    <w:unhideWhenUsed/>
    <w:qFormat/>
    <w:uiPriority w:val="99"/>
    <w:pPr>
      <w:spacing w:line="360" w:lineRule="auto"/>
      <w:ind w:firstLine="480" w:firstLineChars="200"/>
      <w:jc w:val="left"/>
    </w:pPr>
    <w:rPr>
      <w:rFonts w:ascii="宋体" w:hAnsi="宋体" w:eastAsia="宋体"/>
      <w:sz w:val="24"/>
    </w:rPr>
  </w:style>
  <w:style w:type="paragraph" w:styleId="5">
    <w:name w:val="Balloon Text"/>
    <w:basedOn w:val="1"/>
    <w:link w:val="15"/>
    <w:semiHidden/>
    <w:unhideWhenUsed/>
    <w:qFormat/>
    <w:uiPriority w:val="99"/>
    <w:rPr>
      <w:sz w:val="18"/>
      <w:szCs w:val="18"/>
    </w:rPr>
  </w:style>
  <w:style w:type="paragraph" w:styleId="6">
    <w:name w:val="footer"/>
    <w:basedOn w:val="1"/>
    <w:link w:val="12"/>
    <w:unhideWhenUsed/>
    <w:qFormat/>
    <w:uiPriority w:val="99"/>
    <w:pPr>
      <w:tabs>
        <w:tab w:val="center" w:pos="4153"/>
        <w:tab w:val="right" w:pos="8306"/>
      </w:tabs>
      <w:snapToGrid w:val="0"/>
      <w:jc w:val="left"/>
    </w:pPr>
    <w:rPr>
      <w:sz w:val="18"/>
      <w:szCs w:val="18"/>
    </w:rPr>
  </w:style>
  <w:style w:type="paragraph" w:styleId="7">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character" w:styleId="10">
    <w:name w:val="Hyperlink"/>
    <w:basedOn w:val="9"/>
    <w:qFormat/>
    <w:uiPriority w:val="99"/>
    <w:rPr>
      <w:color w:val="0000FF"/>
      <w:u w:val="single"/>
    </w:rPr>
  </w:style>
  <w:style w:type="character" w:customStyle="1" w:styleId="11">
    <w:name w:val="页眉 Char"/>
    <w:basedOn w:val="9"/>
    <w:link w:val="7"/>
    <w:qFormat/>
    <w:uiPriority w:val="99"/>
    <w:rPr>
      <w:sz w:val="18"/>
      <w:szCs w:val="18"/>
    </w:rPr>
  </w:style>
  <w:style w:type="character" w:customStyle="1" w:styleId="12">
    <w:name w:val="页脚 Char"/>
    <w:basedOn w:val="9"/>
    <w:link w:val="6"/>
    <w:qFormat/>
    <w:uiPriority w:val="99"/>
    <w:rPr>
      <w:sz w:val="18"/>
      <w:szCs w:val="18"/>
    </w:rPr>
  </w:style>
  <w:style w:type="character" w:customStyle="1" w:styleId="13">
    <w:name w:val="标题 1 Char"/>
    <w:basedOn w:val="9"/>
    <w:link w:val="2"/>
    <w:qFormat/>
    <w:uiPriority w:val="0"/>
    <w:rPr>
      <w:rFonts w:ascii="Times New Roman" w:hAnsi="Times New Roman" w:eastAsia="宋体" w:cs="Times New Roman"/>
      <w:b/>
      <w:kern w:val="44"/>
      <w:sz w:val="44"/>
      <w:szCs w:val="20"/>
    </w:rPr>
  </w:style>
  <w:style w:type="paragraph" w:customStyle="1" w:styleId="14">
    <w:name w:val="Normal_1"/>
    <w:qFormat/>
    <w:uiPriority w:val="0"/>
    <w:pPr>
      <w:widowControl w:val="0"/>
      <w:jc w:val="both"/>
    </w:pPr>
    <w:rPr>
      <w:rFonts w:ascii="Times New Roman" w:hAnsi="Times New Roman" w:eastAsia="宋体" w:cs="Times New Roman"/>
      <w:lang w:val="en-US" w:eastAsia="zh-CN" w:bidi="ar-SA"/>
    </w:rPr>
  </w:style>
  <w:style w:type="character" w:customStyle="1" w:styleId="15">
    <w:name w:val="批注框文本 Char"/>
    <w:basedOn w:val="9"/>
    <w:link w:val="5"/>
    <w:semiHidden/>
    <w:qFormat/>
    <w:uiPriority w:val="99"/>
    <w:rPr>
      <w:rFonts w:ascii="Times New Roman" w:hAnsi="Times New Roman" w:eastAsia="宋体" w:cs="Times New Roman"/>
      <w:sz w:val="18"/>
      <w:szCs w:val="18"/>
    </w:rPr>
  </w:style>
  <w:style w:type="paragraph" w:customStyle="1" w:styleId="16">
    <w:name w:val="p0"/>
    <w:basedOn w:val="1"/>
    <w:qFormat/>
    <w:uiPriority w:val="0"/>
    <w:pPr>
      <w:widowControl/>
      <w:spacing w:line="240" w:lineRule="atLeast"/>
    </w:pPr>
    <w:rPr>
      <w:kern w:val="0"/>
      <w:sz w:val="32"/>
    </w:rPr>
  </w:style>
  <w:style w:type="paragraph" w:styleId="17">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Pages>
  <Words>3593</Words>
  <Characters>4053</Characters>
  <Lines>28</Lines>
  <Paragraphs>8</Paragraphs>
  <TotalTime>1</TotalTime>
  <ScaleCrop>false</ScaleCrop>
  <LinksUpToDate>false</LinksUpToDate>
  <CharactersWithSpaces>4075</CharactersWithSpaces>
  <Application>WPS Office_11.8.6.8556_F1E327BC-269C-435d-A152-05C5408002CA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2021-02-01T07:47:00Z</dcterms:created>
  <dc:creator>CX2020111</dc:creator>
  <cp:lastModifiedBy>lenovo</cp:lastModifiedBy>
  <dcterms:modified xsi:type="dcterms:W3CDTF">2022-10-27T10:01:11Z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2052-11.8.6.8556</vt:lpwstr>
  </property>
  <property fmtid="{D5CDD505-2E9C-101B-9397-08002B2CF9AE}" pid="3" name="ICV">
    <vt:lpwstr>200BA372C68C41EBBAB6322268208237</vt:lpwstr>
  </property>
</Properties>
</file>