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360" w:lineRule="auto"/>
        <w:jc w:val="center"/>
        <w:rPr>
          <w:rFonts w:ascii="仿宋" w:hAnsi="仿宋" w:eastAsia="仿宋" w:cs="仿宋"/>
          <w:b/>
          <w:sz w:val="24"/>
          <w:szCs w:val="24"/>
        </w:rPr>
      </w:pPr>
      <w:r>
        <w:rPr>
          <w:rFonts w:hint="eastAsia" w:ascii="仿宋" w:hAnsi="仿宋" w:eastAsia="仿宋" w:cs="仿宋"/>
          <w:b/>
          <w:sz w:val="24"/>
          <w:szCs w:val="24"/>
        </w:rPr>
        <w:t>山东中实易通集团有限公司202</w:t>
      </w:r>
      <w:r>
        <w:rPr>
          <w:rFonts w:hint="eastAsia" w:ascii="仿宋" w:hAnsi="仿宋" w:eastAsia="仿宋" w:cs="仿宋"/>
          <w:b/>
          <w:sz w:val="24"/>
          <w:szCs w:val="24"/>
          <w:lang w:val="en-US" w:eastAsia="zh-CN"/>
        </w:rPr>
        <w:t>3</w:t>
      </w:r>
      <w:r>
        <w:rPr>
          <w:rFonts w:hint="eastAsia" w:ascii="仿宋" w:hAnsi="仿宋" w:eastAsia="仿宋" w:cs="仿宋"/>
          <w:b/>
          <w:sz w:val="24"/>
          <w:szCs w:val="24"/>
        </w:rPr>
        <w:t>年</w:t>
      </w:r>
      <w:r>
        <w:rPr>
          <w:rFonts w:hint="eastAsia" w:ascii="仿宋" w:hAnsi="仿宋" w:eastAsia="仿宋" w:cs="仿宋"/>
          <w:b/>
          <w:sz w:val="24"/>
          <w:szCs w:val="24"/>
          <w:lang w:val="en-US" w:eastAsia="zh-CN"/>
        </w:rPr>
        <w:t>2</w:t>
      </w:r>
      <w:r>
        <w:rPr>
          <w:rFonts w:hint="eastAsia" w:ascii="仿宋" w:hAnsi="仿宋" w:eastAsia="仿宋" w:cs="仿宋"/>
          <w:b/>
          <w:sz w:val="24"/>
          <w:szCs w:val="24"/>
        </w:rPr>
        <w:t>月第一次物资公开招标采购公告</w:t>
      </w:r>
    </w:p>
    <w:p>
      <w:pPr>
        <w:adjustRightInd w:val="0"/>
        <w:snapToGrid w:val="0"/>
        <w:spacing w:line="360" w:lineRule="auto"/>
        <w:jc w:val="center"/>
        <w:rPr>
          <w:rFonts w:ascii="仿宋" w:hAnsi="仿宋" w:eastAsia="仿宋" w:cs="仿宋"/>
          <w:color w:val="auto"/>
          <w:sz w:val="24"/>
          <w:szCs w:val="24"/>
        </w:rPr>
      </w:pPr>
      <w:r>
        <w:rPr>
          <w:rFonts w:hint="eastAsia" w:ascii="仿宋" w:hAnsi="仿宋" w:eastAsia="仿宋" w:cs="仿宋"/>
          <w:sz w:val="24"/>
          <w:szCs w:val="24"/>
        </w:rPr>
        <w:t>（招标编号：</w:t>
      </w:r>
      <w:r>
        <w:rPr>
          <w:rFonts w:hint="eastAsia" w:ascii="仿宋" w:hAnsi="仿宋" w:eastAsia="仿宋" w:cs="仿宋"/>
          <w:color w:val="auto"/>
          <w:sz w:val="24"/>
          <w:szCs w:val="24"/>
          <w:lang w:eastAsia="zh-CN"/>
        </w:rPr>
        <w:t>ZSYT230201WZGKZB</w:t>
      </w:r>
      <w:r>
        <w:rPr>
          <w:rFonts w:hint="eastAsia" w:ascii="仿宋" w:hAnsi="仿宋" w:eastAsia="仿宋" w:cs="仿宋"/>
          <w:color w:val="auto"/>
          <w:sz w:val="24"/>
          <w:szCs w:val="24"/>
        </w:rPr>
        <w:t>）</w:t>
      </w:r>
    </w:p>
    <w:p>
      <w:pPr>
        <w:spacing w:line="360" w:lineRule="auto"/>
        <w:rPr>
          <w:rFonts w:ascii="仿宋" w:hAnsi="仿宋" w:eastAsia="仿宋" w:cs="仿宋"/>
          <w:b/>
          <w:sz w:val="24"/>
          <w:szCs w:val="24"/>
        </w:rPr>
      </w:pPr>
      <w:r>
        <w:rPr>
          <w:rFonts w:hint="eastAsia" w:ascii="仿宋" w:hAnsi="仿宋" w:eastAsia="仿宋" w:cs="仿宋"/>
          <w:b/>
          <w:sz w:val="24"/>
          <w:szCs w:val="24"/>
        </w:rPr>
        <w:t>1.招标条件</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山东中实易通集团有限公司</w:t>
      </w:r>
      <w:r>
        <w:rPr>
          <w:rFonts w:hint="eastAsia" w:ascii="仿宋" w:hAnsi="仿宋" w:eastAsia="仿宋" w:cs="仿宋"/>
          <w:color w:val="auto"/>
          <w:sz w:val="24"/>
          <w:szCs w:val="24"/>
        </w:rPr>
        <w:t>、山东电力工业锅炉压力容器检验中心有限公司委托山东三誉招标代理有限公司（以下简称“招标代理机构”）就山东中实易通集团有限公司202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月第一次物资公开招标采购项目进</w:t>
      </w:r>
      <w:r>
        <w:rPr>
          <w:rFonts w:hint="eastAsia" w:ascii="仿宋" w:hAnsi="仿宋" w:eastAsia="仿宋" w:cs="仿宋"/>
          <w:sz w:val="24"/>
          <w:szCs w:val="24"/>
        </w:rPr>
        <w:t>行公开招标，本批招标项目资金已落实。</w:t>
      </w:r>
    </w:p>
    <w:p>
      <w:pPr>
        <w:spacing w:line="360" w:lineRule="auto"/>
        <w:rPr>
          <w:rFonts w:ascii="仿宋" w:hAnsi="仿宋" w:eastAsia="仿宋" w:cs="仿宋"/>
          <w:b/>
          <w:sz w:val="24"/>
          <w:szCs w:val="24"/>
        </w:rPr>
      </w:pPr>
      <w:r>
        <w:rPr>
          <w:rFonts w:hint="eastAsia" w:ascii="仿宋" w:hAnsi="仿宋" w:eastAsia="仿宋" w:cs="仿宋"/>
          <w:b/>
          <w:sz w:val="24"/>
          <w:szCs w:val="24"/>
        </w:rPr>
        <w:t>2.招标范围</w:t>
      </w:r>
    </w:p>
    <w:tbl>
      <w:tblPr>
        <w:tblStyle w:val="14"/>
        <w:tblW w:w="8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4355"/>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012" w:type="dxa"/>
            <w:vAlign w:val="center"/>
          </w:tcPr>
          <w:p>
            <w:pPr>
              <w:pStyle w:val="11"/>
              <w:snapToGrid w:val="0"/>
              <w:spacing w:before="0" w:beforeAutospacing="0" w:after="0" w:afterAutospacing="0" w:line="0" w:lineRule="atLeast"/>
              <w:jc w:val="center"/>
              <w:rPr>
                <w:rFonts w:hint="eastAsia" w:ascii="仿宋" w:hAnsi="仿宋" w:eastAsia="仿宋" w:cs="仿宋"/>
                <w:kern w:val="2"/>
                <w:sz w:val="24"/>
                <w:szCs w:val="24"/>
              </w:rPr>
            </w:pPr>
            <w:r>
              <w:rPr>
                <w:rFonts w:hint="eastAsia" w:ascii="仿宋" w:hAnsi="仿宋" w:eastAsia="仿宋" w:cs="仿宋"/>
                <w:kern w:val="2"/>
                <w:sz w:val="24"/>
                <w:szCs w:val="24"/>
              </w:rPr>
              <w:t>序  号</w:t>
            </w:r>
          </w:p>
        </w:tc>
        <w:tc>
          <w:tcPr>
            <w:tcW w:w="4355" w:type="dxa"/>
            <w:vAlign w:val="center"/>
          </w:tcPr>
          <w:p>
            <w:pPr>
              <w:pStyle w:val="11"/>
              <w:snapToGrid w:val="0"/>
              <w:spacing w:before="0" w:beforeAutospacing="0" w:after="0" w:afterAutospacing="0" w:line="0" w:lineRule="atLeast"/>
              <w:jc w:val="center"/>
              <w:rPr>
                <w:rFonts w:hint="eastAsia" w:ascii="仿宋" w:hAnsi="仿宋" w:eastAsia="仿宋" w:cs="仿宋"/>
                <w:kern w:val="2"/>
                <w:sz w:val="24"/>
                <w:szCs w:val="24"/>
              </w:rPr>
            </w:pPr>
            <w:r>
              <w:rPr>
                <w:rFonts w:hint="eastAsia" w:ascii="仿宋" w:hAnsi="仿宋" w:eastAsia="仿宋" w:cs="仿宋"/>
                <w:kern w:val="2"/>
                <w:sz w:val="24"/>
                <w:szCs w:val="24"/>
              </w:rPr>
              <w:t>分  标  名  称</w:t>
            </w:r>
          </w:p>
        </w:tc>
        <w:tc>
          <w:tcPr>
            <w:tcW w:w="2751" w:type="dxa"/>
            <w:vAlign w:val="center"/>
          </w:tcPr>
          <w:p>
            <w:pPr>
              <w:pStyle w:val="11"/>
              <w:snapToGrid w:val="0"/>
              <w:spacing w:before="0" w:beforeAutospacing="0" w:after="0" w:afterAutospacing="0" w:line="0" w:lineRule="atLeast"/>
              <w:jc w:val="center"/>
              <w:rPr>
                <w:rFonts w:hint="eastAsia" w:ascii="仿宋" w:hAnsi="仿宋" w:eastAsia="仿宋" w:cs="仿宋"/>
                <w:kern w:val="2"/>
                <w:sz w:val="24"/>
                <w:szCs w:val="24"/>
              </w:rPr>
            </w:pPr>
            <w:r>
              <w:rPr>
                <w:rFonts w:hint="eastAsia" w:ascii="仿宋" w:hAnsi="仿宋" w:eastAsia="仿宋" w:cs="仿宋"/>
                <w:kern w:val="2"/>
                <w:sz w:val="24"/>
                <w:szCs w:val="24"/>
              </w:rPr>
              <w:t>分  标  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预绞丝金具物资采购项目</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餐饮消耗材料采购项目</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副食调料类项目</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YTZB2WZ023-1016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蛋类豆制品类项目</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冷鲜肉类采购项目</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实验室内排风系统等物资采购项目</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1012"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4355"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输电线路铁塔加固维修物资采购项目</w:t>
            </w:r>
          </w:p>
        </w:tc>
        <w:tc>
          <w:tcPr>
            <w:tcW w:w="2751"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YTZBWZ2023-1020-GJ</w:t>
            </w:r>
          </w:p>
        </w:tc>
      </w:tr>
    </w:tbl>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招标范围详见附件1：招标需求一览表。</w:t>
      </w:r>
    </w:p>
    <w:p>
      <w:pPr>
        <w:spacing w:line="360" w:lineRule="auto"/>
        <w:rPr>
          <w:rFonts w:ascii="仿宋" w:hAnsi="仿宋" w:eastAsia="仿宋" w:cs="仿宋"/>
          <w:b/>
          <w:sz w:val="24"/>
          <w:szCs w:val="24"/>
        </w:rPr>
      </w:pPr>
      <w:r>
        <w:rPr>
          <w:rFonts w:hint="eastAsia" w:ascii="仿宋" w:hAnsi="仿宋" w:eastAsia="仿宋" w:cs="仿宋"/>
          <w:b/>
          <w:sz w:val="24"/>
          <w:szCs w:val="24"/>
        </w:rPr>
        <w:t>3.投标人资格要求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本次招标要求投标人须为中华人民共和国境内依法注册的法人、自然人或其他组织，须具备完成和保障如期交付承担招标项目的能力。</w:t>
      </w:r>
    </w:p>
    <w:p>
      <w:pPr>
        <w:spacing w:line="360" w:lineRule="auto"/>
        <w:rPr>
          <w:rFonts w:ascii="仿宋" w:hAnsi="仿宋" w:eastAsia="仿宋" w:cs="仿宋"/>
          <w:b/>
          <w:sz w:val="24"/>
          <w:szCs w:val="24"/>
        </w:rPr>
      </w:pPr>
      <w:r>
        <w:rPr>
          <w:rFonts w:hint="eastAsia" w:ascii="仿宋" w:hAnsi="仿宋" w:eastAsia="仿宋" w:cs="仿宋"/>
          <w:b/>
          <w:sz w:val="24"/>
          <w:szCs w:val="24"/>
        </w:rPr>
        <w:t>3.1投标人及其投标的服务须满足如下通用资格要求：</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根据最高人民法院、国家发改委等九部门联合印发的《关于在招标投标活动中对失信被执行人实施联合惩戒的通知》的规定，投标人不得被人民法院列为失信被执行人。联合体投标的，联合体各方均不得被人民法院列为失信被执行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根据国家发改委等部委联合印发《印发&lt;关于对电力行业严重违法失信市场主体及其有关人员实施联合惩戒的合作备忘录&gt;的通知》（发改运行〔2017〕946号）的规定，投标人不得被政府主管部门认定存在严重违法失信行为并纳入电力行业“黑名单”。联合体投标的，联合体各方均不得被政府主管部门认定存在严重违法失信行为并纳入电力行业“黑名单”。</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如在中标人公示后，招标人接到对中标人行贿犯罪的举报，经查属实的，将取消中标人资格，并将其行为视为“在招标活动中提供虚假信息”，根据国家电网有限公司《供应商不良行为处理管理细则》、国网山东省电力公司关于《供应商不良行为处理》规定纳入供应商不良行为处理。</w:t>
      </w:r>
    </w:p>
    <w:p>
      <w:pPr>
        <w:spacing w:line="360" w:lineRule="auto"/>
        <w:ind w:firstLine="480" w:firstLineChars="200"/>
        <w:rPr>
          <w:rFonts w:ascii="仿宋" w:hAnsi="仿宋" w:eastAsia="仿宋" w:cs="仿宋"/>
          <w:b/>
          <w:bCs/>
          <w:sz w:val="24"/>
          <w:szCs w:val="24"/>
        </w:rPr>
      </w:pPr>
      <w:r>
        <w:rPr>
          <w:rFonts w:hint="eastAsia" w:ascii="仿宋" w:hAnsi="仿宋" w:eastAsia="仿宋" w:cs="仿宋"/>
          <w:sz w:val="24"/>
          <w:szCs w:val="24"/>
        </w:rPr>
        <w:t>（4）</w:t>
      </w:r>
      <w:r>
        <w:rPr>
          <w:rFonts w:hint="eastAsia" w:ascii="仿宋" w:hAnsi="仿宋" w:eastAsia="仿宋" w:cs="仿宋"/>
          <w:b/>
          <w:bCs/>
          <w:sz w:val="24"/>
          <w:szCs w:val="24"/>
        </w:rPr>
        <w:t>投标人在商务文件中提供国家企业信用信息公示系统（http://www.gsxt.gov.cn/index.html）上打印的企业信用信息公示报告，报告中应包含“营业执照信息”、“列入经营异常名录信息”和“列入严重违法失信企业名单（黑名单）信息”，报告出具之日为开标日前一个月内。如投标人未提供企业信用信息公示报告，或提供的报告不符合招标文件规定的格式与内容，或报告内容被评审委员会认定有异议的，投标人的“列入经营异常名录信息”和“列入严重违法失信企业名单（黑名单）信息”以评审委员会在国家企业信用信息公示系统（http://www.gsxt.gov.cn/index.html）的查询的结果为准（普通合伙企业、事业单位除外）。评标委员会将会对未提供或提供的报告不符合招标文件规定的格式与内容的投标人作出不利的评价。</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不良行为处理：在国内招投标活动、合同履行、质保期服务过程中，按照《国家电网有限公司供应商不良行为处理管理细则》、国网山东省电力公司关于《供应商不良行为处理》规定，未存在因不良行为导致本批次暂停、取消或永久取消中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（6）联合体投标：本批次招标不接受联合体投标。</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（7）投标人不得存在下列情形之一：</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7.1为招标人不具备独立法人资格的附属机构（单位）；</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7.2被责令停业的；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7.3被暂停或取消投标资格的；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7.4财产被接管或冻结的；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7.5在最近三年内有骗取中标或严重违约或重大工程质量问题责任追溯措施未全面落实的；</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7.6单位负责人为同一人或者存在控股、管理关系的不同单位，不得同时参加本（批）次招标同一标包投标。</w:t>
      </w:r>
    </w:p>
    <w:p>
      <w:pPr>
        <w:spacing w:line="400" w:lineRule="exact"/>
        <w:rPr>
          <w:rFonts w:ascii="仿宋" w:hAnsi="仿宋" w:eastAsia="仿宋" w:cs="仿宋"/>
          <w:b/>
          <w:sz w:val="24"/>
          <w:szCs w:val="24"/>
        </w:rPr>
      </w:pPr>
      <w:r>
        <w:rPr>
          <w:rFonts w:hint="eastAsia" w:ascii="仿宋" w:hAnsi="仿宋" w:eastAsia="仿宋" w:cs="仿宋"/>
          <w:b/>
          <w:sz w:val="24"/>
          <w:szCs w:val="24"/>
        </w:rPr>
        <w:t>8、特别提醒：(预绞丝金具物资采购项目）</w:t>
      </w:r>
    </w:p>
    <w:p>
      <w:pPr>
        <w:spacing w:line="400" w:lineRule="exact"/>
        <w:rPr>
          <w:rFonts w:ascii="仿宋" w:hAnsi="仿宋" w:eastAsia="仿宋" w:cs="仿宋"/>
          <w:bCs/>
          <w:sz w:val="24"/>
          <w:szCs w:val="24"/>
        </w:rPr>
      </w:pPr>
      <w:r>
        <w:rPr>
          <w:rFonts w:hint="eastAsia" w:ascii="仿宋" w:hAnsi="仿宋" w:eastAsia="仿宋" w:cs="仿宋"/>
          <w:bCs/>
          <w:sz w:val="24"/>
          <w:szCs w:val="24"/>
        </w:rPr>
        <w:t>8.1本次中标结果的履约平台为国网智联电商有限公司运营的国网企购集体企业电商化采购专区（网址：http://j.esgcc.com.cn）。</w:t>
      </w:r>
    </w:p>
    <w:p>
      <w:pPr>
        <w:spacing w:line="400" w:lineRule="exact"/>
        <w:rPr>
          <w:rFonts w:ascii="仿宋" w:hAnsi="仿宋" w:eastAsia="仿宋" w:cs="仿宋"/>
          <w:bCs/>
          <w:sz w:val="24"/>
          <w:szCs w:val="24"/>
        </w:rPr>
      </w:pPr>
      <w:r>
        <w:rPr>
          <w:rFonts w:hint="eastAsia" w:ascii="仿宋" w:hAnsi="仿宋" w:eastAsia="仿宋" w:cs="仿宋"/>
          <w:bCs/>
          <w:sz w:val="24"/>
          <w:szCs w:val="24"/>
        </w:rPr>
        <w:t>8.2履约模式：项目单位在电商化采购三级专区中，通过线上可视化方式向国网智联电商有限公司下单采购物资，国网智联电商有限公司线上实时将项目单位下达的采购订单（扣除让利后）流转给专区中标供应商，并向中标供应商采购项目单位订单商品，由中标供应商直接向项目单位发货并开展履约服务。</w:t>
      </w:r>
    </w:p>
    <w:p>
      <w:pPr>
        <w:spacing w:line="400" w:lineRule="exact"/>
        <w:rPr>
          <w:rFonts w:ascii="仿宋" w:hAnsi="仿宋" w:eastAsia="仿宋" w:cs="仿宋"/>
          <w:bCs/>
          <w:sz w:val="24"/>
          <w:szCs w:val="24"/>
        </w:rPr>
      </w:pPr>
      <w:r>
        <w:rPr>
          <w:rFonts w:hint="eastAsia" w:ascii="仿宋" w:hAnsi="仿宋" w:eastAsia="仿宋" w:cs="仿宋"/>
          <w:bCs/>
          <w:sz w:val="24"/>
          <w:szCs w:val="24"/>
        </w:rPr>
        <w:t>8.3投标人参与本次招标即视为认可国网智联电商有限公司依据本次招标结果进行的采购行为，并同意在中标价格基础上给予国网智联电商有限公司0.8%的让利。</w:t>
      </w:r>
    </w:p>
    <w:p>
      <w:pPr>
        <w:spacing w:line="400" w:lineRule="exact"/>
        <w:rPr>
          <w:rFonts w:ascii="仿宋" w:hAnsi="仿宋" w:eastAsia="仿宋" w:cs="仿宋"/>
          <w:bCs/>
          <w:sz w:val="24"/>
          <w:szCs w:val="24"/>
        </w:rPr>
      </w:pPr>
      <w:r>
        <w:rPr>
          <w:rFonts w:hint="eastAsia" w:ascii="仿宋" w:hAnsi="仿宋" w:eastAsia="仿宋" w:cs="仿宋"/>
          <w:bCs/>
          <w:sz w:val="24"/>
          <w:szCs w:val="24"/>
        </w:rPr>
        <w:t>例如：某商品中标单价为1000元，则：</w:t>
      </w:r>
    </w:p>
    <w:p>
      <w:pPr>
        <w:spacing w:line="400" w:lineRule="exact"/>
        <w:rPr>
          <w:rFonts w:ascii="仿宋" w:hAnsi="仿宋" w:eastAsia="仿宋" w:cs="仿宋"/>
          <w:bCs/>
          <w:sz w:val="24"/>
          <w:szCs w:val="24"/>
        </w:rPr>
      </w:pPr>
      <w:r>
        <w:rPr>
          <w:rFonts w:hint="eastAsia" w:ascii="仿宋" w:hAnsi="仿宋" w:eastAsia="仿宋" w:cs="仿宋"/>
          <w:bCs/>
          <w:sz w:val="24"/>
          <w:szCs w:val="24"/>
        </w:rPr>
        <w:t>三级专区展示商品单价为1000元；</w:t>
      </w:r>
    </w:p>
    <w:p>
      <w:pPr>
        <w:spacing w:line="400" w:lineRule="exact"/>
        <w:rPr>
          <w:rFonts w:ascii="仿宋" w:hAnsi="仿宋" w:eastAsia="仿宋" w:cs="仿宋"/>
          <w:bCs/>
          <w:sz w:val="24"/>
          <w:szCs w:val="24"/>
        </w:rPr>
      </w:pPr>
      <w:r>
        <w:rPr>
          <w:rFonts w:hint="eastAsia" w:ascii="仿宋" w:hAnsi="仿宋" w:eastAsia="仿宋" w:cs="仿宋"/>
          <w:bCs/>
          <w:sz w:val="24"/>
          <w:szCs w:val="24"/>
        </w:rPr>
        <w:t>项目单位向国网智联电商有限公司采购该商品单价为1000元；</w:t>
      </w:r>
    </w:p>
    <w:p>
      <w:pPr>
        <w:spacing w:line="400" w:lineRule="exact"/>
        <w:rPr>
          <w:rFonts w:ascii="仿宋" w:hAnsi="仿宋" w:eastAsia="仿宋" w:cs="仿宋"/>
          <w:bCs/>
          <w:sz w:val="24"/>
          <w:szCs w:val="24"/>
        </w:rPr>
      </w:pPr>
      <w:r>
        <w:rPr>
          <w:rFonts w:hint="eastAsia" w:ascii="仿宋" w:hAnsi="仿宋" w:eastAsia="仿宋" w:cs="仿宋"/>
          <w:bCs/>
          <w:sz w:val="24"/>
          <w:szCs w:val="24"/>
        </w:rPr>
        <w:t>国网智联电商有限公司向中标供应商采购该商品单价为1000*（1-0.8%）=992元；</w:t>
      </w:r>
    </w:p>
    <w:p>
      <w:pPr>
        <w:spacing w:line="360" w:lineRule="auto"/>
        <w:rPr>
          <w:rFonts w:ascii="仿宋" w:hAnsi="仿宋" w:eastAsia="仿宋" w:cs="仿宋"/>
          <w:bCs/>
          <w:sz w:val="24"/>
          <w:szCs w:val="24"/>
        </w:rPr>
      </w:pPr>
      <w:r>
        <w:rPr>
          <w:rFonts w:hint="eastAsia" w:ascii="仿宋" w:hAnsi="仿宋" w:eastAsia="仿宋" w:cs="仿宋"/>
          <w:bCs/>
          <w:sz w:val="24"/>
          <w:szCs w:val="24"/>
        </w:rPr>
        <w:t>中标供应商按扣除让利后的金额992元向国网智联电商有限公司开具符合招标文件要求的发票。</w:t>
      </w:r>
    </w:p>
    <w:p>
      <w:pPr>
        <w:pStyle w:val="5"/>
        <w:ind w:left="0" w:leftChars="0" w:firstLine="0" w:firstLineChars="0"/>
      </w:pPr>
      <w:r>
        <w:rPr>
          <w:rFonts w:hint="eastAsia" w:ascii="仿宋" w:hAnsi="仿宋" w:eastAsia="仿宋" w:cs="仿宋"/>
          <w:bCs/>
          <w:sz w:val="24"/>
          <w:szCs w:val="24"/>
          <w:lang w:val="en-US" w:eastAsia="zh-CN"/>
        </w:rPr>
        <w:t>8.4</w:t>
      </w:r>
      <w:r>
        <w:rPr>
          <w:rFonts w:hint="eastAsia" w:ascii="仿宋" w:hAnsi="仿宋" w:eastAsia="仿宋" w:cs="仿宋"/>
          <w:sz w:val="24"/>
          <w:szCs w:val="24"/>
          <w:lang w:val="en-US" w:eastAsia="zh-CN"/>
        </w:rPr>
        <w:t>无法上架电商的货物通过线下采购方式自行购买。</w:t>
      </w:r>
    </w:p>
    <w:p>
      <w:pPr>
        <w:spacing w:line="360" w:lineRule="auto"/>
        <w:rPr>
          <w:rFonts w:ascii="仿宋" w:hAnsi="仿宋" w:eastAsia="仿宋" w:cs="仿宋"/>
          <w:b/>
          <w:sz w:val="24"/>
          <w:szCs w:val="24"/>
        </w:rPr>
      </w:pPr>
      <w:r>
        <w:rPr>
          <w:rFonts w:hint="eastAsia" w:ascii="仿宋" w:hAnsi="仿宋" w:eastAsia="仿宋" w:cs="仿宋"/>
          <w:b/>
          <w:sz w:val="24"/>
          <w:szCs w:val="24"/>
        </w:rPr>
        <w:t>3.2投标人及其投标的服务须满足相应招标项目的专用资格要求:</w:t>
      </w:r>
    </w:p>
    <w:p>
      <w:pPr>
        <w:spacing w:line="360" w:lineRule="auto"/>
        <w:rPr>
          <w:rFonts w:ascii="仿宋" w:hAnsi="仿宋" w:eastAsia="仿宋" w:cs="仿宋"/>
          <w:sz w:val="24"/>
          <w:szCs w:val="24"/>
        </w:rPr>
      </w:pPr>
      <w:r>
        <w:rPr>
          <w:rFonts w:hint="eastAsia" w:ascii="仿宋" w:hAnsi="仿宋" w:eastAsia="仿宋" w:cs="仿宋"/>
          <w:sz w:val="24"/>
          <w:szCs w:val="24"/>
        </w:rPr>
        <w:t>具体详见附件1“招标需求一览表”中专用资质业绩要求。</w:t>
      </w:r>
    </w:p>
    <w:p>
      <w:pPr>
        <w:spacing w:line="360" w:lineRule="auto"/>
        <w:rPr>
          <w:rFonts w:ascii="仿宋" w:hAnsi="仿宋" w:eastAsia="仿宋" w:cs="仿宋"/>
          <w:b/>
          <w:sz w:val="24"/>
          <w:szCs w:val="24"/>
        </w:rPr>
      </w:pPr>
      <w:r>
        <w:rPr>
          <w:rFonts w:hint="eastAsia" w:ascii="仿宋" w:hAnsi="仿宋" w:eastAsia="仿宋" w:cs="仿宋"/>
          <w:b/>
          <w:sz w:val="24"/>
          <w:szCs w:val="24"/>
        </w:rPr>
        <w:t>4.招标文件的获取</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4.1本次实行</w:t>
      </w:r>
      <w:r>
        <w:rPr>
          <w:rFonts w:hint="eastAsia" w:ascii="仿宋" w:hAnsi="仿宋" w:eastAsia="仿宋" w:cs="仿宋"/>
          <w:b/>
          <w:bCs/>
          <w:sz w:val="24"/>
          <w:szCs w:val="24"/>
        </w:rPr>
        <w:t>网上发放电子版招标文件</w:t>
      </w:r>
      <w:r>
        <w:rPr>
          <w:rFonts w:hint="eastAsia" w:ascii="仿宋" w:hAnsi="仿宋" w:eastAsia="仿宋" w:cs="仿宋"/>
          <w:sz w:val="24"/>
          <w:szCs w:val="24"/>
        </w:rPr>
        <w:t>，潜在投标人应在国家电网有限公司电子商务平台电工交易专区（https://sgccetp.com.cn/portal//，以下简称：电工交易专区）注册并办理CA证书电子钥匙方可获取招标文件，电子钥匙的办理流程请登录电工交易专区网站“平台注册”——“电脑配置及电子钥匙”下载所有文件仔细阅读。电子钥匙的办理需要一定的时间，请潜在投标人高度重视。CA证书电子钥匙在ECP1.0、ECP2.0两个平台通用，如为ECP1.0平台老用户且具有有效的CA证书电子钥匙，仅需注册并下载安装新版电子钥匙安装包，即可获取招标文件。由于没有及时办理电子钥匙导致获取招标文件失败，后果由潜在投标人自行承担。</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4.2凡有意参加投标者，请于</w:t>
      </w:r>
      <w:r>
        <w:rPr>
          <w:rFonts w:hint="eastAsia" w:ascii="仿宋" w:hAnsi="仿宋" w:eastAsia="仿宋" w:cs="仿宋"/>
          <w:b/>
          <w:bCs/>
          <w:sz w:val="24"/>
          <w:szCs w:val="24"/>
        </w:rPr>
        <w:t>20</w:t>
      </w:r>
      <w:r>
        <w:rPr>
          <w:rFonts w:hint="eastAsia" w:ascii="仿宋" w:hAnsi="仿宋" w:eastAsia="仿宋" w:cs="仿宋"/>
          <w:b/>
          <w:bCs/>
          <w:sz w:val="24"/>
          <w:szCs w:val="24"/>
          <w:highlight w:val="none"/>
        </w:rPr>
        <w:t>2</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07</w:t>
      </w:r>
      <w:r>
        <w:rPr>
          <w:rFonts w:hint="eastAsia" w:ascii="仿宋" w:hAnsi="仿宋" w:eastAsia="仿宋" w:cs="仿宋"/>
          <w:b/>
          <w:bCs/>
          <w:sz w:val="24"/>
          <w:szCs w:val="24"/>
          <w:highlight w:val="none"/>
        </w:rPr>
        <w:t>日08:30时至202</w:t>
      </w:r>
      <w:r>
        <w:rPr>
          <w:rFonts w:hint="eastAsia" w:ascii="仿宋" w:hAnsi="仿宋" w:eastAsia="仿宋" w:cs="仿宋"/>
          <w:b/>
          <w:bCs/>
          <w:sz w:val="24"/>
          <w:szCs w:val="24"/>
          <w:highlight w:val="none"/>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14</w:t>
      </w:r>
      <w:r>
        <w:rPr>
          <w:rFonts w:hint="eastAsia" w:ascii="仿宋" w:hAnsi="仿宋" w:eastAsia="仿宋" w:cs="仿宋"/>
          <w:b/>
          <w:bCs/>
          <w:sz w:val="24"/>
          <w:szCs w:val="24"/>
          <w:highlight w:val="none"/>
        </w:rPr>
        <w:t>日</w:t>
      </w:r>
      <w:r>
        <w:rPr>
          <w:rFonts w:hint="eastAsia" w:ascii="仿宋" w:hAnsi="仿宋" w:eastAsia="仿宋" w:cs="仿宋"/>
          <w:b/>
          <w:bCs/>
          <w:sz w:val="24"/>
          <w:szCs w:val="24"/>
        </w:rPr>
        <w:t>17:00时</w:t>
      </w:r>
      <w:r>
        <w:rPr>
          <w:rFonts w:hint="eastAsia" w:ascii="仿宋" w:hAnsi="仿宋" w:eastAsia="仿宋" w:cs="仿宋"/>
          <w:sz w:val="24"/>
          <w:szCs w:val="24"/>
        </w:rPr>
        <w:t>（北京时间），登录国家电网有限公司电子商务平台电工交易专区下载招标文件，并按《电子招标投标办法》等国家法律法规要求，到第三方认证机构办理CA证书电子钥匙。</w:t>
      </w:r>
    </w:p>
    <w:p>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4.3</w:t>
      </w:r>
      <w:r>
        <w:rPr>
          <w:rFonts w:hint="eastAsia" w:ascii="仿宋" w:hAnsi="仿宋" w:eastAsia="仿宋" w:cs="仿宋"/>
          <w:b/>
          <w:bCs/>
          <w:sz w:val="24"/>
          <w:szCs w:val="24"/>
        </w:rPr>
        <w:t>招标文件（电子文件）免费获取</w:t>
      </w:r>
      <w:r>
        <w:rPr>
          <w:rFonts w:hint="eastAsia" w:ascii="仿宋" w:hAnsi="仿宋" w:eastAsia="仿宋" w:cs="仿宋"/>
          <w:sz w:val="24"/>
          <w:szCs w:val="24"/>
        </w:rPr>
        <w:t>。投标人国家电网公司电子商务平台电工交易专区点击购买招标文件即可，无须支付费用。购买申请1个工作日内将自动获得招标文件下载权限，超过1个工作日内未收到确认下载权限的，可联系核实报名情况。</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4.4请潜在投标人注意的其他事项</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（1）供应商投标工具下载方式：请各投标人在国家电网有限公司电子商务平台首页“参与投标→投标工具安装”目录下下载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供应商投标工具</w:t>
      </w:r>
      <w:r>
        <w:rPr>
          <w:rFonts w:hint="eastAsia" w:ascii="仿宋" w:hAnsi="仿宋" w:eastAsia="仿宋" w:cs="仿宋"/>
          <w:sz w:val="24"/>
          <w:szCs w:val="24"/>
        </w:rPr>
        <w:fldChar w:fldCharType="end"/>
      </w:r>
      <w:r>
        <w:rPr>
          <w:rFonts w:hint="eastAsia" w:ascii="仿宋" w:hAnsi="仿宋" w:eastAsia="仿宋" w:cs="仿宋"/>
          <w:sz w:val="24"/>
          <w:szCs w:val="24"/>
        </w:rPr>
        <w:t>。</w:t>
      </w:r>
    </w:p>
    <w:p>
      <w:pPr>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（2）操作手册下载：请各投标人在国家电网有限公司电子商务平台首页“参与投标→操作手册”目录下下载“</w:t>
      </w:r>
      <w:r>
        <w:fldChar w:fldCharType="begin"/>
      </w:r>
      <w:r>
        <w:instrText xml:space="preserve"> HYPERLINK "https://ecp.sgcc.com.cn/ecp2.0/portal/" \l "/list/down/javascript:void(0)" </w:instrText>
      </w:r>
      <w:r>
        <w:fldChar w:fldCharType="separate"/>
      </w:r>
      <w:r>
        <w:rPr>
          <w:rFonts w:hint="eastAsia" w:ascii="仿宋" w:hAnsi="仿宋" w:eastAsia="仿宋" w:cs="仿宋"/>
          <w:sz w:val="24"/>
          <w:szCs w:val="24"/>
        </w:rPr>
        <w:t>供应商操作手册</w:t>
      </w:r>
      <w:r>
        <w:rPr>
          <w:rFonts w:hint="eastAsia" w:ascii="仿宋" w:hAnsi="仿宋" w:eastAsia="仿宋" w:cs="仿宋"/>
          <w:sz w:val="24"/>
          <w:szCs w:val="24"/>
        </w:rPr>
        <w:fldChar w:fldCharType="end"/>
      </w:r>
      <w:r>
        <w:rPr>
          <w:rFonts w:hint="eastAsia" w:ascii="仿宋" w:hAnsi="仿宋" w:eastAsia="仿宋" w:cs="仿宋"/>
          <w:sz w:val="24"/>
          <w:szCs w:val="24"/>
        </w:rPr>
        <w:t>”。（获取文件操作视频下载链接：请前往http://www.syzbgs.com/show-11-3763-1.html获取 ，该链接仅为获取招标文件及后续投标提供参考，具体投标操作应根据具体项目进行。）</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（3）投标工具操作问题联系电话：010-63411000。</w:t>
      </w:r>
    </w:p>
    <w:p>
      <w:pPr>
        <w:spacing w:line="360" w:lineRule="auto"/>
        <w:rPr>
          <w:rFonts w:ascii="仿宋" w:hAnsi="仿宋" w:eastAsia="仿宋" w:cs="仿宋"/>
          <w:b/>
          <w:sz w:val="24"/>
          <w:szCs w:val="24"/>
        </w:rPr>
      </w:pPr>
      <w:r>
        <w:rPr>
          <w:rFonts w:hint="eastAsia" w:ascii="仿宋" w:hAnsi="仿宋" w:eastAsia="仿宋" w:cs="仿宋"/>
          <w:b/>
          <w:sz w:val="24"/>
          <w:szCs w:val="24"/>
        </w:rPr>
        <w:t>5.投标文件的递交</w:t>
      </w:r>
    </w:p>
    <w:p>
      <w:pPr>
        <w:spacing w:line="360" w:lineRule="auto"/>
        <w:ind w:firstLine="482" w:firstLineChars="200"/>
        <w:rPr>
          <w:rFonts w:ascii="仿宋" w:hAnsi="仿宋" w:eastAsia="仿宋" w:cs="仿宋"/>
          <w:b/>
          <w:sz w:val="24"/>
          <w:szCs w:val="24"/>
        </w:rPr>
      </w:pPr>
      <w:r>
        <w:rPr>
          <w:rFonts w:hint="eastAsia" w:ascii="仿宋" w:hAnsi="仿宋" w:eastAsia="仿宋" w:cs="仿宋"/>
          <w:b/>
          <w:sz w:val="24"/>
          <w:szCs w:val="24"/>
        </w:rPr>
        <w:t>本次招标项目须在电子商务平台电工交易专区上进行，投标文件（应用“E供应商操作手册”格式版本）应在投标截止时间（202</w:t>
      </w:r>
      <w:r>
        <w:rPr>
          <w:rFonts w:hint="eastAsia" w:ascii="仿宋" w:hAnsi="仿宋" w:eastAsia="仿宋" w:cs="仿宋"/>
          <w:b/>
          <w:sz w:val="24"/>
          <w:szCs w:val="24"/>
          <w:lang w:val="en-US" w:eastAsia="zh-CN"/>
        </w:rPr>
        <w:t>3</w:t>
      </w:r>
      <w:r>
        <w:rPr>
          <w:rFonts w:hint="eastAsia" w:ascii="仿宋" w:hAnsi="仿宋" w:eastAsia="仿宋" w:cs="仿宋"/>
          <w:b/>
          <w:sz w:val="24"/>
          <w:szCs w:val="24"/>
        </w:rPr>
        <w:t>年</w:t>
      </w:r>
      <w:r>
        <w:rPr>
          <w:rFonts w:hint="eastAsia" w:ascii="仿宋" w:hAnsi="仿宋" w:eastAsia="仿宋" w:cs="仿宋"/>
          <w:b/>
          <w:sz w:val="24"/>
          <w:szCs w:val="24"/>
          <w:lang w:val="en-US" w:eastAsia="zh-CN"/>
        </w:rPr>
        <w:t>02</w:t>
      </w:r>
      <w:r>
        <w:rPr>
          <w:rFonts w:hint="eastAsia" w:ascii="仿宋" w:hAnsi="仿宋" w:eastAsia="仿宋" w:cs="仿宋"/>
          <w:b/>
          <w:sz w:val="24"/>
          <w:szCs w:val="24"/>
          <w:highlight w:val="none"/>
        </w:rPr>
        <w:t>月</w:t>
      </w:r>
      <w:r>
        <w:rPr>
          <w:rFonts w:hint="eastAsia" w:ascii="仿宋" w:hAnsi="仿宋" w:eastAsia="仿宋" w:cs="仿宋"/>
          <w:b/>
          <w:sz w:val="24"/>
          <w:szCs w:val="24"/>
          <w:highlight w:val="none"/>
          <w:lang w:val="en-US" w:eastAsia="zh-CN"/>
        </w:rPr>
        <w:t>28</w:t>
      </w:r>
      <w:r>
        <w:rPr>
          <w:rFonts w:hint="eastAsia" w:ascii="仿宋" w:hAnsi="仿宋" w:eastAsia="仿宋" w:cs="仿宋"/>
          <w:b/>
          <w:sz w:val="24"/>
          <w:szCs w:val="24"/>
          <w:highlight w:val="none"/>
        </w:rPr>
        <w:t>日</w:t>
      </w:r>
      <w:r>
        <w:rPr>
          <w:rFonts w:hint="eastAsia" w:ascii="仿宋" w:hAnsi="仿宋" w:eastAsia="仿宋" w:cs="仿宋"/>
          <w:b/>
          <w:sz w:val="24"/>
          <w:szCs w:val="24"/>
        </w:rPr>
        <w:t>9:00时，北京时间）前上传至电子商务平台电工交易专区，同时按照相关规定递交纸质投标文件</w:t>
      </w:r>
    </w:p>
    <w:p>
      <w:pPr>
        <w:adjustRightInd w:val="0"/>
        <w:snapToGrid w:val="0"/>
        <w:spacing w:line="360" w:lineRule="auto"/>
        <w:jc w:val="left"/>
        <w:rPr>
          <w:rFonts w:ascii="仿宋" w:hAnsi="仿宋" w:eastAsia="仿宋" w:cs="仿宋"/>
          <w:sz w:val="24"/>
          <w:szCs w:val="24"/>
        </w:rPr>
      </w:pPr>
      <w:bookmarkStart w:id="0" w:name="_Hlk55828686"/>
      <w:r>
        <w:rPr>
          <w:rFonts w:hint="eastAsia" w:ascii="仿宋" w:hAnsi="仿宋" w:eastAsia="仿宋" w:cs="仿宋"/>
          <w:sz w:val="24"/>
          <w:szCs w:val="24"/>
        </w:rPr>
        <w:t>5.1纸质投标文件递交</w:t>
      </w:r>
    </w:p>
    <w:p>
      <w:pPr>
        <w:adjustRightInd w:val="0"/>
        <w:snapToGrid w:val="0"/>
        <w:spacing w:line="360" w:lineRule="auto"/>
        <w:jc w:val="left"/>
        <w:rPr>
          <w:rFonts w:ascii="仿宋" w:hAnsi="仿宋" w:eastAsia="仿宋" w:cs="仿宋"/>
          <w:sz w:val="24"/>
          <w:szCs w:val="24"/>
        </w:rPr>
      </w:pPr>
      <w:r>
        <w:rPr>
          <w:rFonts w:hint="eastAsia" w:ascii="仿宋" w:hAnsi="仿宋" w:eastAsia="仿宋" w:cs="仿宋"/>
          <w:sz w:val="24"/>
          <w:szCs w:val="24"/>
        </w:rPr>
        <w:t>疫情原因，为避免人员聚集，本项目不接受开标现场投标（应答）文件递交。</w:t>
      </w:r>
    </w:p>
    <w:p>
      <w:pPr>
        <w:spacing w:line="400" w:lineRule="exact"/>
        <w:rPr>
          <w:rFonts w:ascii="仿宋" w:hAnsi="仿宋" w:eastAsia="仿宋" w:cs="仿宋"/>
          <w:sz w:val="24"/>
          <w:szCs w:val="24"/>
        </w:rPr>
      </w:pPr>
      <w:r>
        <w:rPr>
          <w:rFonts w:hint="eastAsia" w:ascii="仿宋" w:hAnsi="仿宋" w:eastAsia="仿宋" w:cs="仿宋"/>
          <w:sz w:val="24"/>
          <w:szCs w:val="24"/>
        </w:rPr>
        <w:t>投标（应答）文件邮寄接收地址、时间及联系方式：</w:t>
      </w:r>
    </w:p>
    <w:p>
      <w:pPr>
        <w:spacing w:line="400" w:lineRule="exact"/>
        <w:rPr>
          <w:rFonts w:ascii="仿宋" w:hAnsi="仿宋" w:eastAsia="仿宋" w:cs="仿宋"/>
          <w:sz w:val="24"/>
          <w:szCs w:val="24"/>
        </w:rPr>
      </w:pPr>
      <w:r>
        <w:rPr>
          <w:rFonts w:hint="eastAsia" w:ascii="仿宋" w:hAnsi="仿宋" w:eastAsia="仿宋" w:cs="仿宋"/>
          <w:sz w:val="24"/>
          <w:szCs w:val="24"/>
        </w:rPr>
        <w:t>收件人：</w:t>
      </w:r>
      <w:r>
        <w:rPr>
          <w:rFonts w:hint="eastAsia" w:ascii="仿宋" w:hAnsi="仿宋" w:eastAsia="仿宋" w:cs="仿宋"/>
          <w:sz w:val="24"/>
          <w:szCs w:val="24"/>
          <w:lang w:eastAsia="zh-CN"/>
        </w:rPr>
        <w:t>王颖</w:t>
      </w:r>
      <w:r>
        <w:rPr>
          <w:rFonts w:hint="eastAsia" w:ascii="仿宋" w:hAnsi="仿宋" w:eastAsia="仿宋" w:cs="仿宋"/>
          <w:sz w:val="24"/>
          <w:szCs w:val="24"/>
        </w:rPr>
        <w:t>，联系电话：15562423673。</w:t>
      </w:r>
    </w:p>
    <w:p>
      <w:pPr>
        <w:spacing w:line="360" w:lineRule="auto"/>
        <w:rPr>
          <w:rFonts w:ascii="仿宋" w:hAnsi="仿宋" w:eastAsia="仿宋" w:cs="仿宋"/>
          <w:sz w:val="24"/>
          <w:szCs w:val="24"/>
        </w:rPr>
      </w:pPr>
      <w:r>
        <w:rPr>
          <w:rFonts w:hint="eastAsia" w:ascii="仿宋" w:hAnsi="仿宋" w:eastAsia="仿宋" w:cs="仿宋"/>
          <w:sz w:val="24"/>
          <w:szCs w:val="24"/>
        </w:rPr>
        <w:t>收件地址：</w:t>
      </w:r>
      <w:r>
        <w:rPr>
          <w:rFonts w:hint="eastAsia" w:ascii="仿宋" w:hAnsi="仿宋" w:eastAsia="仿宋" w:cs="仿宋"/>
          <w:b/>
          <w:bCs/>
          <w:sz w:val="24"/>
          <w:szCs w:val="24"/>
        </w:rPr>
        <w:t>纸质投标文件的请确保在202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27</w:t>
      </w:r>
      <w:r>
        <w:rPr>
          <w:rFonts w:hint="eastAsia" w:ascii="仿宋" w:hAnsi="仿宋" w:eastAsia="仿宋" w:cs="仿宋"/>
          <w:b/>
          <w:bCs/>
          <w:sz w:val="24"/>
          <w:szCs w:val="24"/>
          <w:highlight w:val="none"/>
        </w:rPr>
        <w:t>日</w:t>
      </w:r>
      <w:r>
        <w:rPr>
          <w:rFonts w:hint="eastAsia" w:ascii="仿宋" w:hAnsi="仿宋" w:eastAsia="仿宋" w:cs="仿宋"/>
          <w:b/>
          <w:bCs/>
          <w:sz w:val="24"/>
          <w:szCs w:val="24"/>
        </w:rPr>
        <w:t>12:00时之前采用邮寄方式递交到下述收件地址（</w:t>
      </w:r>
      <w:r>
        <w:rPr>
          <w:rFonts w:hint="eastAsia" w:ascii="仿宋" w:hAnsi="仿宋" w:eastAsia="仿宋" w:cs="仿宋"/>
          <w:sz w:val="24"/>
          <w:szCs w:val="24"/>
        </w:rPr>
        <w:t>济南市市中区二环南路3377号绿地新都会A1-3号写字楼11层1102室</w:t>
      </w:r>
      <w:r>
        <w:rPr>
          <w:rFonts w:hint="eastAsia" w:ascii="仿宋" w:hAnsi="仿宋" w:eastAsia="仿宋" w:cs="仿宋"/>
          <w:b/>
          <w:bCs/>
          <w:sz w:val="24"/>
          <w:szCs w:val="24"/>
        </w:rPr>
        <w:t>）</w:t>
      </w:r>
    </w:p>
    <w:bookmarkEnd w:id="0"/>
    <w:p>
      <w:pPr>
        <w:spacing w:line="400" w:lineRule="exact"/>
        <w:rPr>
          <w:rFonts w:ascii="仿宋" w:hAnsi="仿宋" w:eastAsia="仿宋" w:cs="仿宋"/>
          <w:sz w:val="24"/>
          <w:szCs w:val="24"/>
        </w:rPr>
      </w:pPr>
      <w:r>
        <w:rPr>
          <w:rFonts w:hint="eastAsia" w:ascii="仿宋" w:hAnsi="仿宋" w:eastAsia="仿宋" w:cs="仿宋"/>
          <w:sz w:val="24"/>
          <w:szCs w:val="24"/>
        </w:rPr>
        <w:t>5.2“投标人主动放弃投标情况的说明”（如有）请于投标截止日之前发送到邮箱syzbgs@vip.163.com。</w:t>
      </w:r>
    </w:p>
    <w:p>
      <w:pPr>
        <w:spacing w:line="400" w:lineRule="exact"/>
        <w:rPr>
          <w:rFonts w:ascii="仿宋" w:hAnsi="仿宋" w:eastAsia="仿宋" w:cs="仿宋"/>
          <w:b/>
          <w:bCs/>
          <w:sz w:val="24"/>
          <w:szCs w:val="24"/>
        </w:rPr>
      </w:pPr>
      <w:bookmarkStart w:id="1" w:name="_Hlk55828695"/>
      <w:r>
        <w:rPr>
          <w:rFonts w:hint="eastAsia" w:ascii="仿宋" w:hAnsi="仿宋" w:eastAsia="仿宋" w:cs="仿宋"/>
          <w:b/>
          <w:bCs/>
          <w:sz w:val="24"/>
          <w:szCs w:val="24"/>
        </w:rPr>
        <w:t>5.3开标时间：202</w:t>
      </w:r>
      <w:r>
        <w:rPr>
          <w:rFonts w:hint="eastAsia" w:ascii="仿宋" w:hAnsi="仿宋" w:eastAsia="仿宋" w:cs="仿宋"/>
          <w:b/>
          <w:bCs/>
          <w:sz w:val="24"/>
          <w:szCs w:val="24"/>
          <w:lang w:val="en-US" w:eastAsia="zh-CN"/>
        </w:rPr>
        <w:t>3</w:t>
      </w:r>
      <w:r>
        <w:rPr>
          <w:rFonts w:hint="eastAsia" w:ascii="仿宋" w:hAnsi="仿宋" w:eastAsia="仿宋" w:cs="仿宋"/>
          <w:b/>
          <w:bCs/>
          <w:sz w:val="24"/>
          <w:szCs w:val="24"/>
          <w:highlight w:val="none"/>
        </w:rPr>
        <w:t>年</w:t>
      </w:r>
      <w:r>
        <w:rPr>
          <w:rFonts w:hint="eastAsia" w:ascii="仿宋" w:hAnsi="仿宋" w:eastAsia="仿宋" w:cs="仿宋"/>
          <w:b/>
          <w:bCs/>
          <w:sz w:val="24"/>
          <w:szCs w:val="24"/>
          <w:highlight w:val="none"/>
          <w:lang w:val="en-US" w:eastAsia="zh-CN"/>
        </w:rPr>
        <w:t>02</w:t>
      </w:r>
      <w:r>
        <w:rPr>
          <w:rFonts w:hint="eastAsia" w:ascii="仿宋" w:hAnsi="仿宋" w:eastAsia="仿宋" w:cs="仿宋"/>
          <w:b/>
          <w:bCs/>
          <w:sz w:val="24"/>
          <w:szCs w:val="24"/>
          <w:highlight w:val="none"/>
        </w:rPr>
        <w:t>月</w:t>
      </w:r>
      <w:r>
        <w:rPr>
          <w:rFonts w:hint="eastAsia" w:ascii="仿宋" w:hAnsi="仿宋" w:eastAsia="仿宋" w:cs="仿宋"/>
          <w:b/>
          <w:bCs/>
          <w:sz w:val="24"/>
          <w:szCs w:val="24"/>
          <w:highlight w:val="none"/>
          <w:lang w:val="en-US" w:eastAsia="zh-CN"/>
        </w:rPr>
        <w:t>28</w:t>
      </w:r>
      <w:r>
        <w:rPr>
          <w:rFonts w:hint="eastAsia" w:ascii="仿宋" w:hAnsi="仿宋" w:eastAsia="仿宋" w:cs="仿宋"/>
          <w:b/>
          <w:bCs/>
          <w:sz w:val="24"/>
          <w:szCs w:val="24"/>
        </w:rPr>
        <w:t>日</w:t>
      </w:r>
      <w:r>
        <w:rPr>
          <w:rFonts w:hint="eastAsia" w:ascii="仿宋" w:hAnsi="仿宋" w:eastAsia="仿宋" w:cs="仿宋"/>
          <w:b/>
          <w:sz w:val="24"/>
          <w:szCs w:val="24"/>
        </w:rPr>
        <w:t>9:00时</w:t>
      </w:r>
      <w:r>
        <w:rPr>
          <w:rFonts w:hint="eastAsia" w:ascii="仿宋" w:hAnsi="仿宋" w:eastAsia="仿宋" w:cs="仿宋"/>
          <w:b/>
          <w:bCs/>
          <w:sz w:val="24"/>
          <w:szCs w:val="24"/>
        </w:rPr>
        <w:t>；</w:t>
      </w:r>
    </w:p>
    <w:p>
      <w:pPr>
        <w:spacing w:line="400" w:lineRule="exact"/>
        <w:rPr>
          <w:rFonts w:ascii="仿宋" w:hAnsi="仿宋" w:eastAsia="仿宋" w:cs="仿宋"/>
          <w:sz w:val="24"/>
          <w:szCs w:val="24"/>
        </w:rPr>
      </w:pPr>
      <w:r>
        <w:rPr>
          <w:rFonts w:hint="eastAsia" w:ascii="仿宋" w:hAnsi="仿宋" w:eastAsia="仿宋" w:cs="仿宋"/>
          <w:b/>
          <w:bCs/>
          <w:sz w:val="24"/>
          <w:szCs w:val="24"/>
        </w:rPr>
        <w:t>开标地点：济南市天桥区少年路12号彩虹大酒店。</w:t>
      </w:r>
      <w:r>
        <w:rPr>
          <w:rFonts w:hint="eastAsia" w:ascii="仿宋" w:hAnsi="仿宋" w:eastAsia="仿宋" w:cs="仿宋"/>
          <w:sz w:val="24"/>
          <w:szCs w:val="24"/>
        </w:rPr>
        <w:t>招标人代表在开标室，投标人授权代表人在各自公司或其自行指定地点。</w:t>
      </w:r>
    </w:p>
    <w:bookmarkEnd w:id="1"/>
    <w:p>
      <w:pPr>
        <w:spacing w:line="400" w:lineRule="exact"/>
        <w:rPr>
          <w:rFonts w:ascii="仿宋" w:hAnsi="仿宋" w:eastAsia="仿宋" w:cs="仿宋"/>
          <w:sz w:val="24"/>
          <w:szCs w:val="24"/>
        </w:rPr>
      </w:pPr>
      <w:r>
        <w:rPr>
          <w:rFonts w:hint="eastAsia" w:ascii="仿宋" w:hAnsi="仿宋" w:eastAsia="仿宋" w:cs="仿宋"/>
          <w:sz w:val="24"/>
          <w:szCs w:val="24"/>
        </w:rPr>
        <w:t>（1）开标等候地点:本次开标不设等候地点。</w:t>
      </w:r>
    </w:p>
    <w:p>
      <w:pPr>
        <w:spacing w:line="400" w:lineRule="exact"/>
        <w:rPr>
          <w:rFonts w:ascii="仿宋" w:hAnsi="仿宋" w:eastAsia="仿宋" w:cs="仿宋"/>
          <w:sz w:val="24"/>
          <w:szCs w:val="24"/>
        </w:rPr>
      </w:pPr>
      <w:r>
        <w:rPr>
          <w:rFonts w:hint="eastAsia" w:ascii="仿宋" w:hAnsi="仿宋" w:eastAsia="仿宋" w:cs="仿宋"/>
          <w:sz w:val="24"/>
          <w:szCs w:val="24"/>
        </w:rPr>
        <w:t>（2）开评标期间请各投标人保持电话畅通，及时关注手机短信、邮箱动态，以便及时沟通相关问题。</w:t>
      </w:r>
    </w:p>
    <w:p>
      <w:pPr>
        <w:spacing w:line="400" w:lineRule="exact"/>
        <w:rPr>
          <w:rFonts w:ascii="仿宋" w:hAnsi="仿宋" w:eastAsia="仿宋" w:cs="仿宋"/>
          <w:sz w:val="24"/>
          <w:szCs w:val="24"/>
        </w:rPr>
      </w:pPr>
      <w:r>
        <w:rPr>
          <w:rFonts w:hint="eastAsia" w:ascii="仿宋" w:hAnsi="仿宋" w:eastAsia="仿宋" w:cs="仿宋"/>
          <w:sz w:val="24"/>
          <w:szCs w:val="24"/>
        </w:rPr>
        <w:t>（3）开标方式：鉴于当前疫情防控要求，招标人代表与投标人授权代表通过网络视频方式进行澄清、答疑、否决。</w:t>
      </w:r>
    </w:p>
    <w:p>
      <w:pPr>
        <w:spacing w:line="400" w:lineRule="exact"/>
        <w:rPr>
          <w:rFonts w:ascii="仿宋" w:hAnsi="仿宋" w:eastAsia="仿宋" w:cs="仿宋"/>
          <w:sz w:val="24"/>
          <w:szCs w:val="24"/>
        </w:rPr>
      </w:pPr>
      <w:r>
        <w:rPr>
          <w:rFonts w:hint="eastAsia" w:ascii="仿宋" w:hAnsi="仿宋" w:eastAsia="仿宋" w:cs="仿宋"/>
          <w:sz w:val="24"/>
          <w:szCs w:val="24"/>
        </w:rPr>
        <w:t>（4）网络视频方式：应用“腾讯会议”软件（投标人可通过百度等搜索工具下载）。投标人务必在谈判前下载、安装“腾讯会议”软件，并提前熟悉掌握使用方法。因投标人自身原因造成的无法开展澄清、答疑、否决工作的，由此产生的风险由投标人承担。</w:t>
      </w:r>
    </w:p>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rPr>
        <w:t>（5）“腾讯会议”会议号：</w:t>
      </w:r>
      <w:r>
        <w:rPr>
          <w:rFonts w:hint="eastAsia" w:ascii="仿宋" w:hAnsi="仿宋" w:eastAsia="仿宋" w:cs="仿宋"/>
          <w:sz w:val="24"/>
          <w:szCs w:val="24"/>
          <w:lang w:val="en-US" w:eastAsia="zh-CN"/>
        </w:rPr>
        <w:t>196 281 007</w:t>
      </w:r>
    </w:p>
    <w:p>
      <w:pPr>
        <w:spacing w:line="360" w:lineRule="auto"/>
        <w:rPr>
          <w:rFonts w:ascii="仿宋" w:hAnsi="仿宋" w:eastAsia="仿宋" w:cs="仿宋"/>
          <w:b/>
          <w:bCs/>
          <w:sz w:val="24"/>
          <w:szCs w:val="24"/>
        </w:rPr>
      </w:pPr>
      <w:r>
        <w:rPr>
          <w:rFonts w:hint="eastAsia" w:ascii="仿宋" w:hAnsi="仿宋" w:eastAsia="仿宋" w:cs="仿宋"/>
          <w:b/>
          <w:bCs/>
          <w:sz w:val="24"/>
          <w:szCs w:val="24"/>
        </w:rPr>
        <w:t>请投标人在开标前10分钟内进入腾讯会议，因投标人自身原因造成的无法参与腾讯会议的，由此产生的风险由投标人承担。</w:t>
      </w:r>
    </w:p>
    <w:p>
      <w:pPr>
        <w:spacing w:line="360" w:lineRule="auto"/>
        <w:rPr>
          <w:rFonts w:ascii="仿宋" w:hAnsi="仿宋" w:eastAsia="仿宋" w:cs="仿宋"/>
          <w:sz w:val="24"/>
          <w:szCs w:val="24"/>
        </w:rPr>
      </w:pPr>
      <w:r>
        <w:rPr>
          <w:rFonts w:hint="eastAsia" w:ascii="仿宋" w:hAnsi="仿宋" w:eastAsia="仿宋" w:cs="仿宋"/>
          <w:sz w:val="24"/>
          <w:szCs w:val="24"/>
        </w:rPr>
        <w:t>5.4投标保证金要求：所有投标都必须附有投标保证金，投标保证金金额详见“招标需求一览表”。所有投标都必须以包为单位提交投标保证金，没有提交投标保证金或投标保证金不符合要求的投标将被拒绝。</w:t>
      </w:r>
    </w:p>
    <w:p>
      <w:pPr>
        <w:spacing w:line="360" w:lineRule="auto"/>
        <w:rPr>
          <w:rFonts w:ascii="仿宋" w:hAnsi="仿宋" w:eastAsia="仿宋" w:cs="仿宋"/>
          <w:sz w:val="24"/>
          <w:szCs w:val="24"/>
        </w:rPr>
      </w:pPr>
      <w:r>
        <w:rPr>
          <w:rFonts w:hint="eastAsia" w:ascii="仿宋" w:hAnsi="仿宋" w:eastAsia="仿宋" w:cs="仿宋"/>
          <w:sz w:val="24"/>
          <w:szCs w:val="24"/>
        </w:rPr>
        <w:t>（1）投标保证金金额：详见“招标需求一览表”</w:t>
      </w:r>
    </w:p>
    <w:p>
      <w:pPr>
        <w:spacing w:line="360" w:lineRule="auto"/>
        <w:rPr>
          <w:rFonts w:ascii="仿宋" w:hAnsi="仿宋" w:eastAsia="仿宋" w:cs="仿宋"/>
          <w:sz w:val="24"/>
          <w:szCs w:val="24"/>
        </w:rPr>
      </w:pPr>
      <w:r>
        <w:rPr>
          <w:rFonts w:hint="eastAsia" w:ascii="仿宋" w:hAnsi="仿宋" w:eastAsia="仿宋" w:cs="仿宋"/>
          <w:sz w:val="24"/>
          <w:szCs w:val="24"/>
        </w:rPr>
        <w:t>（2）投标保证金形式：银行电汇、银行保函或投标保证保险（具体要求详见招标文件）。投标保证金的有效期应与投标有效期一致。</w:t>
      </w:r>
    </w:p>
    <w:p>
      <w:pPr>
        <w:pStyle w:val="13"/>
        <w:ind w:firstLine="0"/>
        <w:jc w:val="both"/>
        <w:rPr>
          <w:rFonts w:ascii="仿宋" w:hAnsi="仿宋" w:eastAsia="仿宋" w:cs="仿宋"/>
          <w:szCs w:val="24"/>
        </w:rPr>
      </w:pPr>
      <w:r>
        <w:rPr>
          <w:rFonts w:hint="eastAsia" w:ascii="仿宋" w:hAnsi="仿宋" w:eastAsia="仿宋" w:cs="仿宋"/>
          <w:b w:val="0"/>
          <w:bCs/>
          <w:szCs w:val="24"/>
          <w:lang w:val="en-US"/>
        </w:rPr>
        <w:t>投标保证金提交截止时间：202</w:t>
      </w:r>
      <w:r>
        <w:rPr>
          <w:rFonts w:hint="eastAsia" w:ascii="仿宋" w:hAnsi="仿宋" w:eastAsia="仿宋" w:cs="仿宋"/>
          <w:b w:val="0"/>
          <w:bCs/>
          <w:szCs w:val="24"/>
          <w:highlight w:val="none"/>
          <w:lang w:val="en-US" w:eastAsia="zh-CN"/>
        </w:rPr>
        <w:t>3</w:t>
      </w:r>
      <w:r>
        <w:rPr>
          <w:rFonts w:hint="eastAsia" w:ascii="仿宋" w:hAnsi="仿宋" w:eastAsia="仿宋" w:cs="仿宋"/>
          <w:b w:val="0"/>
          <w:bCs/>
          <w:szCs w:val="24"/>
          <w:highlight w:val="none"/>
          <w:lang w:val="en-US"/>
        </w:rPr>
        <w:t>年</w:t>
      </w:r>
      <w:r>
        <w:rPr>
          <w:rFonts w:hint="eastAsia" w:ascii="仿宋" w:hAnsi="仿宋" w:eastAsia="仿宋" w:cs="仿宋"/>
          <w:b w:val="0"/>
          <w:bCs/>
          <w:szCs w:val="24"/>
          <w:highlight w:val="none"/>
          <w:lang w:val="en-US" w:eastAsia="zh-CN"/>
        </w:rPr>
        <w:t>02</w:t>
      </w:r>
      <w:r>
        <w:rPr>
          <w:rFonts w:hint="eastAsia" w:ascii="仿宋" w:hAnsi="仿宋" w:eastAsia="仿宋" w:cs="仿宋"/>
          <w:b w:val="0"/>
          <w:bCs/>
          <w:szCs w:val="24"/>
          <w:highlight w:val="none"/>
          <w:lang w:val="en-US"/>
        </w:rPr>
        <w:t>月</w:t>
      </w:r>
      <w:r>
        <w:rPr>
          <w:rFonts w:hint="eastAsia" w:ascii="仿宋" w:hAnsi="仿宋" w:eastAsia="仿宋" w:cs="仿宋"/>
          <w:b w:val="0"/>
          <w:bCs/>
          <w:szCs w:val="24"/>
          <w:highlight w:val="none"/>
          <w:lang w:val="en-US" w:eastAsia="zh-CN"/>
        </w:rPr>
        <w:t>22</w:t>
      </w:r>
      <w:r>
        <w:rPr>
          <w:rFonts w:hint="eastAsia" w:ascii="仿宋" w:hAnsi="仿宋" w:eastAsia="仿宋" w:cs="仿宋"/>
          <w:b w:val="0"/>
          <w:bCs/>
          <w:szCs w:val="24"/>
          <w:lang w:val="en-US"/>
        </w:rPr>
        <w:t>日17：00时前</w:t>
      </w:r>
    </w:p>
    <w:p>
      <w:pPr>
        <w:spacing w:line="360" w:lineRule="auto"/>
        <w:rPr>
          <w:rFonts w:ascii="仿宋" w:hAnsi="仿宋" w:eastAsia="仿宋" w:cs="仿宋"/>
          <w:sz w:val="24"/>
          <w:szCs w:val="24"/>
        </w:rPr>
      </w:pPr>
      <w:r>
        <w:rPr>
          <w:rFonts w:hint="eastAsia" w:ascii="仿宋" w:hAnsi="仿宋" w:eastAsia="仿宋" w:cs="仿宋"/>
          <w:sz w:val="24"/>
          <w:szCs w:val="24"/>
        </w:rPr>
        <w:t>账户信息：</w:t>
      </w:r>
    </w:p>
    <w:p>
      <w:pPr>
        <w:spacing w:line="360" w:lineRule="auto"/>
        <w:rPr>
          <w:rFonts w:ascii="仿宋" w:hAnsi="仿宋" w:eastAsia="仿宋" w:cs="仿宋"/>
          <w:sz w:val="24"/>
          <w:szCs w:val="24"/>
        </w:rPr>
      </w:pPr>
      <w:r>
        <w:rPr>
          <w:rFonts w:hint="eastAsia" w:ascii="仿宋" w:hAnsi="仿宋" w:eastAsia="仿宋" w:cs="仿宋"/>
          <w:sz w:val="24"/>
          <w:szCs w:val="24"/>
        </w:rPr>
        <w:t>单位名称：山东三誉招标代理有限公司</w:t>
      </w:r>
    </w:p>
    <w:p>
      <w:pPr>
        <w:spacing w:line="360" w:lineRule="auto"/>
        <w:rPr>
          <w:rFonts w:ascii="仿宋" w:hAnsi="仿宋" w:eastAsia="仿宋" w:cs="仿宋"/>
          <w:sz w:val="24"/>
          <w:szCs w:val="24"/>
        </w:rPr>
      </w:pPr>
      <w:r>
        <w:rPr>
          <w:rFonts w:hint="eastAsia" w:ascii="仿宋" w:hAnsi="仿宋" w:eastAsia="仿宋" w:cs="仿宋"/>
          <w:sz w:val="24"/>
          <w:szCs w:val="24"/>
        </w:rPr>
        <w:t>开户行：中国民生银行济南玉函路支行</w:t>
      </w:r>
    </w:p>
    <w:p>
      <w:pPr>
        <w:spacing w:line="360" w:lineRule="auto"/>
        <w:rPr>
          <w:rFonts w:ascii="仿宋" w:hAnsi="仿宋" w:eastAsia="仿宋" w:cs="仿宋"/>
          <w:sz w:val="24"/>
          <w:szCs w:val="24"/>
        </w:rPr>
      </w:pPr>
      <w:r>
        <w:rPr>
          <w:rFonts w:hint="eastAsia" w:ascii="仿宋" w:hAnsi="仿宋" w:eastAsia="仿宋" w:cs="仿宋"/>
          <w:sz w:val="24"/>
          <w:szCs w:val="24"/>
        </w:rPr>
        <w:t>账号：697833452</w:t>
      </w:r>
    </w:p>
    <w:p>
      <w:pPr>
        <w:spacing w:line="360" w:lineRule="auto"/>
        <w:rPr>
          <w:rFonts w:ascii="仿宋" w:hAnsi="仿宋" w:eastAsia="仿宋" w:cs="仿宋"/>
          <w:sz w:val="24"/>
          <w:szCs w:val="24"/>
        </w:rPr>
      </w:pPr>
      <w:r>
        <w:rPr>
          <w:rFonts w:hint="eastAsia" w:ascii="仿宋" w:hAnsi="仿宋" w:eastAsia="仿宋" w:cs="仿宋"/>
          <w:sz w:val="24"/>
          <w:szCs w:val="24"/>
        </w:rPr>
        <w:t>汇款时应在备注栏中注明购买的分标名称或包名称简称+分标编号，确保投标标包信息正确</w:t>
      </w:r>
    </w:p>
    <w:p>
      <w:pPr>
        <w:spacing w:line="360" w:lineRule="auto"/>
        <w:rPr>
          <w:rFonts w:ascii="仿宋" w:hAnsi="仿宋" w:eastAsia="仿宋" w:cs="仿宋"/>
          <w:b/>
          <w:sz w:val="24"/>
          <w:szCs w:val="24"/>
        </w:rPr>
      </w:pPr>
      <w:r>
        <w:rPr>
          <w:rFonts w:hint="eastAsia" w:ascii="仿宋" w:hAnsi="仿宋" w:eastAsia="仿宋" w:cs="仿宋"/>
          <w:b/>
          <w:sz w:val="24"/>
          <w:szCs w:val="24"/>
        </w:rPr>
        <w:t>6. 报价公示</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代理机构在投标截止时间之后，在国家电网有限公司电子商务平台电工交易专区公示投标报价。投标人可登陆国家电网有限公司电子商务平台，登陆账号后自行查看本项目报价情况。</w:t>
      </w:r>
    </w:p>
    <w:p>
      <w:pPr>
        <w:spacing w:line="360" w:lineRule="auto"/>
        <w:rPr>
          <w:rFonts w:ascii="仿宋" w:hAnsi="仿宋" w:eastAsia="仿宋" w:cs="仿宋"/>
          <w:b/>
          <w:sz w:val="24"/>
          <w:szCs w:val="24"/>
        </w:rPr>
      </w:pPr>
      <w:r>
        <w:rPr>
          <w:rFonts w:hint="eastAsia" w:ascii="仿宋" w:hAnsi="仿宋" w:eastAsia="仿宋" w:cs="仿宋"/>
          <w:b/>
          <w:sz w:val="24"/>
          <w:szCs w:val="24"/>
        </w:rPr>
        <w:t>7. 发布公告的媒介</w:t>
      </w:r>
    </w:p>
    <w:p>
      <w:pPr>
        <w:spacing w:line="360" w:lineRule="auto"/>
        <w:rPr>
          <w:rFonts w:ascii="仿宋" w:hAnsi="仿宋" w:eastAsia="仿宋" w:cs="仿宋"/>
          <w:sz w:val="24"/>
          <w:szCs w:val="24"/>
        </w:rPr>
      </w:pPr>
      <w:r>
        <w:rPr>
          <w:rFonts w:hint="eastAsia" w:ascii="仿宋" w:hAnsi="仿宋" w:eastAsia="仿宋" w:cs="仿宋"/>
          <w:sz w:val="24"/>
          <w:szCs w:val="24"/>
        </w:rPr>
        <w:t>本次招标公告同时发布在下列媒体上：</w:t>
      </w:r>
    </w:p>
    <w:p>
      <w:pPr>
        <w:spacing w:line="360" w:lineRule="auto"/>
        <w:rPr>
          <w:rFonts w:ascii="仿宋" w:hAnsi="仿宋" w:eastAsia="仿宋" w:cs="仿宋"/>
          <w:sz w:val="24"/>
          <w:szCs w:val="24"/>
        </w:rPr>
      </w:pPr>
      <w:r>
        <w:rPr>
          <w:rFonts w:hint="eastAsia" w:ascii="仿宋" w:hAnsi="仿宋" w:eastAsia="仿宋" w:cs="仿宋"/>
          <w:sz w:val="24"/>
          <w:szCs w:val="24"/>
        </w:rPr>
        <w:t>中国招标投标公共服务平台:</w:t>
      </w:r>
    </w:p>
    <w:p>
      <w:pPr>
        <w:spacing w:line="360" w:lineRule="auto"/>
        <w:rPr>
          <w:rFonts w:ascii="仿宋" w:hAnsi="仿宋" w:eastAsia="仿宋" w:cs="仿宋"/>
          <w:sz w:val="24"/>
          <w:szCs w:val="24"/>
        </w:rPr>
      </w:pPr>
      <w:r>
        <w:rPr>
          <w:rFonts w:hint="eastAsia" w:ascii="仿宋" w:hAnsi="仿宋" w:eastAsia="仿宋" w:cs="仿宋"/>
          <w:sz w:val="24"/>
          <w:szCs w:val="24"/>
        </w:rPr>
        <w:t>http://www.cebpubservice.com/</w:t>
      </w:r>
    </w:p>
    <w:p>
      <w:pPr>
        <w:spacing w:line="360" w:lineRule="auto"/>
        <w:rPr>
          <w:rFonts w:ascii="仿宋" w:hAnsi="仿宋" w:eastAsia="仿宋" w:cs="仿宋"/>
          <w:sz w:val="24"/>
          <w:szCs w:val="24"/>
        </w:rPr>
      </w:pPr>
      <w:r>
        <w:rPr>
          <w:rFonts w:hint="eastAsia" w:ascii="仿宋" w:hAnsi="仿宋" w:eastAsia="仿宋" w:cs="仿宋"/>
          <w:sz w:val="24"/>
          <w:szCs w:val="24"/>
        </w:rPr>
        <w:t>国家电网有限公司电子商务平台:</w:t>
      </w:r>
    </w:p>
    <w:p>
      <w:pPr>
        <w:spacing w:line="360" w:lineRule="auto"/>
        <w:rPr>
          <w:rFonts w:ascii="仿宋" w:hAnsi="仿宋" w:eastAsia="仿宋" w:cs="仿宋"/>
          <w:sz w:val="24"/>
          <w:szCs w:val="24"/>
        </w:rPr>
      </w:pPr>
      <w:r>
        <w:fldChar w:fldCharType="begin"/>
      </w:r>
      <w:r>
        <w:instrText xml:space="preserve"> HYPERLINK "https://sgccetp.com.cn/portal/" </w:instrText>
      </w:r>
      <w:r>
        <w:fldChar w:fldCharType="separate"/>
      </w:r>
      <w:r>
        <w:rPr>
          <w:rFonts w:hint="eastAsia" w:ascii="仿宋" w:hAnsi="仿宋" w:eastAsia="仿宋" w:cs="仿宋"/>
          <w:sz w:val="24"/>
          <w:szCs w:val="24"/>
        </w:rPr>
        <w:t>https://sgccetp.com.cn/portal/</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山东三誉招标代理有限公司平台:</w:t>
      </w:r>
    </w:p>
    <w:p>
      <w:pPr>
        <w:spacing w:line="360" w:lineRule="auto"/>
        <w:rPr>
          <w:rFonts w:ascii="仿宋" w:hAnsi="仿宋" w:eastAsia="仿宋" w:cs="仿宋"/>
          <w:sz w:val="24"/>
          <w:szCs w:val="24"/>
        </w:rPr>
      </w:pPr>
      <w:r>
        <w:fldChar w:fldCharType="begin"/>
      </w:r>
      <w:r>
        <w:instrText xml:space="preserve"> HYPERLINK "http://www.syzbgs.com/" </w:instrText>
      </w:r>
      <w:r>
        <w:fldChar w:fldCharType="separate"/>
      </w:r>
      <w:r>
        <w:rPr>
          <w:rFonts w:hint="eastAsia" w:ascii="仿宋" w:hAnsi="仿宋" w:eastAsia="仿宋" w:cs="仿宋"/>
          <w:sz w:val="24"/>
          <w:szCs w:val="24"/>
        </w:rPr>
        <w:t>http://www.syzbgs.com/</w:t>
      </w:r>
      <w:r>
        <w:rPr>
          <w:rFonts w:hint="eastAsia" w:ascii="仿宋" w:hAnsi="仿宋" w:eastAsia="仿宋" w:cs="仿宋"/>
          <w:sz w:val="24"/>
          <w:szCs w:val="24"/>
        </w:rPr>
        <w:fldChar w:fldCharType="end"/>
      </w:r>
    </w:p>
    <w:p>
      <w:pPr>
        <w:spacing w:line="360" w:lineRule="auto"/>
        <w:rPr>
          <w:rFonts w:ascii="仿宋" w:hAnsi="仿宋" w:eastAsia="仿宋" w:cs="仿宋"/>
          <w:sz w:val="24"/>
          <w:szCs w:val="24"/>
        </w:rPr>
      </w:pPr>
      <w:r>
        <w:rPr>
          <w:rFonts w:hint="eastAsia" w:ascii="仿宋" w:hAnsi="仿宋" w:eastAsia="仿宋" w:cs="仿宋"/>
          <w:sz w:val="24"/>
          <w:szCs w:val="24"/>
        </w:rPr>
        <w:t>招标公告将明确对投标人的资格要求、获取招标文件的日期和地点、接收投标文件等事宜。</w:t>
      </w:r>
    </w:p>
    <w:p>
      <w:pPr>
        <w:spacing w:line="360" w:lineRule="auto"/>
        <w:rPr>
          <w:rFonts w:ascii="仿宋" w:hAnsi="仿宋" w:eastAsia="仿宋" w:cs="仿宋"/>
          <w:b/>
          <w:sz w:val="24"/>
          <w:szCs w:val="24"/>
        </w:rPr>
      </w:pPr>
      <w:r>
        <w:rPr>
          <w:rFonts w:hint="eastAsia" w:ascii="仿宋" w:hAnsi="仿宋" w:eastAsia="仿宋" w:cs="仿宋"/>
          <w:b/>
          <w:sz w:val="24"/>
          <w:szCs w:val="24"/>
        </w:rPr>
        <w:t>友情提示:本次招标在国家电网有限公司电子商务平台电工交易专区上进行，凡参与的投标人必须在国家电网有限公司电子商务平台电工交易专区注册账号，具备中国金融认证中心（CFCA）唯一指定电子钥匙办理厂商优泰科技发展有限公司的电子钥匙。相关事宜见国家电网有限公司电子商务平台（https://sgccetp.com.cn/portal/，使用谷歌浏览器）。</w:t>
      </w:r>
    </w:p>
    <w:p>
      <w:pPr>
        <w:spacing w:line="360" w:lineRule="auto"/>
        <w:rPr>
          <w:rFonts w:ascii="仿宋" w:hAnsi="仿宋" w:eastAsia="仿宋" w:cs="仿宋"/>
          <w:b/>
          <w:sz w:val="24"/>
          <w:szCs w:val="24"/>
        </w:rPr>
      </w:pPr>
      <w:r>
        <w:rPr>
          <w:rFonts w:hint="eastAsia" w:ascii="仿宋" w:hAnsi="仿宋" w:eastAsia="仿宋" w:cs="仿宋"/>
          <w:b/>
          <w:sz w:val="24"/>
          <w:szCs w:val="24"/>
        </w:rPr>
        <w:t>以上内容如有变更以招标文件和变更通知为准。</w:t>
      </w:r>
    </w:p>
    <w:p>
      <w:pPr>
        <w:spacing w:line="360" w:lineRule="auto"/>
        <w:rPr>
          <w:rFonts w:ascii="仿宋" w:hAnsi="仿宋" w:eastAsia="仿宋" w:cs="仿宋"/>
          <w:b/>
          <w:sz w:val="24"/>
          <w:szCs w:val="24"/>
        </w:rPr>
      </w:pPr>
      <w:r>
        <w:rPr>
          <w:rFonts w:hint="eastAsia" w:ascii="仿宋" w:hAnsi="仿宋" w:eastAsia="仿宋" w:cs="仿宋"/>
          <w:b/>
          <w:sz w:val="24"/>
          <w:szCs w:val="24"/>
        </w:rPr>
        <w:t>8. 重要提示</w:t>
      </w:r>
    </w:p>
    <w:p>
      <w:pPr>
        <w:spacing w:line="360" w:lineRule="auto"/>
        <w:rPr>
          <w:rFonts w:ascii="仿宋" w:hAnsi="仿宋" w:eastAsia="仿宋" w:cs="仿宋"/>
          <w:b/>
          <w:sz w:val="24"/>
          <w:szCs w:val="24"/>
        </w:rPr>
      </w:pPr>
      <w:r>
        <w:rPr>
          <w:rFonts w:hint="eastAsia" w:ascii="仿宋" w:hAnsi="仿宋" w:eastAsia="仿宋" w:cs="仿宋"/>
          <w:b/>
          <w:sz w:val="24"/>
          <w:szCs w:val="24"/>
        </w:rPr>
        <w:t>☆资质业绩、包号等事项应以招标需求一览表中载明的要求为准，不得随意改动，敬请注意；投标时，如技术规范书提出相关资质、业绩要求且与公告中资质、业绩要求不同，以公告的要求为准。</w:t>
      </w:r>
    </w:p>
    <w:p>
      <w:pPr>
        <w:spacing w:line="360" w:lineRule="auto"/>
        <w:rPr>
          <w:rFonts w:ascii="仿宋" w:hAnsi="仿宋" w:eastAsia="仿宋" w:cs="仿宋"/>
          <w:b/>
          <w:sz w:val="24"/>
          <w:szCs w:val="24"/>
        </w:rPr>
      </w:pPr>
      <w:r>
        <w:rPr>
          <w:rFonts w:hint="eastAsia" w:ascii="仿宋" w:hAnsi="仿宋" w:eastAsia="仿宋" w:cs="仿宋"/>
          <w:b/>
          <w:sz w:val="24"/>
          <w:szCs w:val="24"/>
        </w:rPr>
        <w:t>☆本次招标中，投标人应按照招标文件要求递交纸质投标文件。</w:t>
      </w:r>
    </w:p>
    <w:p>
      <w:pPr>
        <w:spacing w:line="360" w:lineRule="auto"/>
        <w:rPr>
          <w:rFonts w:ascii="仿宋" w:hAnsi="仿宋" w:eastAsia="仿宋" w:cs="仿宋"/>
          <w:b/>
          <w:sz w:val="24"/>
          <w:szCs w:val="24"/>
        </w:rPr>
      </w:pPr>
      <w:r>
        <w:rPr>
          <w:rFonts w:hint="eastAsia" w:ascii="仿宋" w:hAnsi="仿宋" w:eastAsia="仿宋" w:cs="仿宋"/>
          <w:b/>
          <w:sz w:val="24"/>
          <w:szCs w:val="24"/>
        </w:rPr>
        <w:t>☆本批次所有标包业绩均应出具相关合同的关键部分（包括封面、合同协议书、签署页、关键条款等）。</w:t>
      </w:r>
    </w:p>
    <w:p>
      <w:pPr>
        <w:pStyle w:val="17"/>
        <w:numPr>
          <w:ilvl w:val="0"/>
          <w:numId w:val="1"/>
        </w:numPr>
        <w:spacing w:line="360" w:lineRule="auto"/>
        <w:ind w:firstLineChars="0"/>
        <w:rPr>
          <w:rFonts w:ascii="仿宋" w:hAnsi="仿宋" w:eastAsia="仿宋" w:cs="仿宋"/>
          <w:b/>
          <w:sz w:val="24"/>
          <w:szCs w:val="24"/>
        </w:rPr>
      </w:pPr>
      <w:r>
        <w:rPr>
          <w:rFonts w:hint="eastAsia" w:ascii="仿宋" w:hAnsi="仿宋" w:eastAsia="仿宋" w:cs="仿宋"/>
          <w:b/>
          <w:sz w:val="24"/>
          <w:szCs w:val="24"/>
        </w:rPr>
        <w:t>联系方式</w:t>
      </w:r>
    </w:p>
    <w:p>
      <w:pPr>
        <w:spacing w:line="360" w:lineRule="auto"/>
        <w:jc w:val="left"/>
        <w:rPr>
          <w:rFonts w:ascii="仿宋" w:hAnsi="仿宋" w:eastAsia="仿宋" w:cs="仿宋"/>
          <w:sz w:val="24"/>
          <w:szCs w:val="24"/>
        </w:rPr>
      </w:pPr>
      <w:r>
        <w:rPr>
          <w:rFonts w:hint="eastAsia" w:ascii="仿宋" w:hAnsi="仿宋" w:eastAsia="仿宋" w:cs="仿宋"/>
          <w:sz w:val="24"/>
          <w:szCs w:val="24"/>
        </w:rPr>
        <w:t>招标代理名称：山东三誉招标代理有限公司</w:t>
      </w:r>
    </w:p>
    <w:p>
      <w:pPr>
        <w:spacing w:line="360" w:lineRule="auto"/>
        <w:jc w:val="left"/>
        <w:rPr>
          <w:rFonts w:ascii="仿宋" w:hAnsi="仿宋" w:eastAsia="仿宋" w:cs="仿宋"/>
          <w:sz w:val="24"/>
          <w:szCs w:val="24"/>
        </w:rPr>
      </w:pPr>
      <w:r>
        <w:rPr>
          <w:rFonts w:hint="eastAsia" w:ascii="仿宋" w:hAnsi="仿宋" w:eastAsia="仿宋" w:cs="仿宋"/>
          <w:sz w:val="24"/>
          <w:szCs w:val="24"/>
        </w:rPr>
        <w:t>地址：济南市市中区二环南路3377号绿地新都会A1-3号写字楼11层1102室</w:t>
      </w:r>
    </w:p>
    <w:p>
      <w:pPr>
        <w:spacing w:line="360" w:lineRule="auto"/>
        <w:jc w:val="left"/>
        <w:rPr>
          <w:rFonts w:hint="eastAsia" w:ascii="仿宋" w:hAnsi="仿宋" w:eastAsia="仿宋" w:cs="仿宋"/>
          <w:sz w:val="24"/>
          <w:szCs w:val="24"/>
          <w:lang w:eastAsia="zh-CN"/>
        </w:rPr>
      </w:pPr>
      <w:r>
        <w:rPr>
          <w:rFonts w:hint="eastAsia" w:ascii="仿宋" w:hAnsi="仿宋" w:eastAsia="仿宋" w:cs="仿宋"/>
          <w:sz w:val="24"/>
          <w:szCs w:val="24"/>
        </w:rPr>
        <w:t>购买标书联系人：李月、</w:t>
      </w:r>
      <w:r>
        <w:rPr>
          <w:rFonts w:hint="eastAsia" w:ascii="仿宋" w:hAnsi="仿宋" w:eastAsia="仿宋" w:cs="仿宋"/>
          <w:sz w:val="24"/>
          <w:szCs w:val="24"/>
          <w:lang w:eastAsia="zh-CN"/>
        </w:rPr>
        <w:t>王颖</w:t>
      </w:r>
    </w:p>
    <w:p>
      <w:pPr>
        <w:spacing w:line="360" w:lineRule="auto"/>
        <w:jc w:val="left"/>
        <w:rPr>
          <w:rFonts w:ascii="仿宋" w:hAnsi="仿宋" w:eastAsia="仿宋" w:cs="仿宋"/>
          <w:sz w:val="24"/>
          <w:szCs w:val="24"/>
        </w:rPr>
      </w:pPr>
      <w:r>
        <w:rPr>
          <w:rFonts w:hint="eastAsia" w:ascii="仿宋" w:hAnsi="仿宋" w:eastAsia="仿宋" w:cs="仿宋"/>
          <w:sz w:val="24"/>
          <w:szCs w:val="24"/>
        </w:rPr>
        <w:t>联系电话：15562423673</w:t>
      </w:r>
    </w:p>
    <w:p>
      <w:pPr>
        <w:spacing w:line="360" w:lineRule="auto"/>
        <w:jc w:val="left"/>
        <w:rPr>
          <w:rFonts w:ascii="仿宋" w:hAnsi="仿宋" w:eastAsia="仿宋" w:cs="仿宋"/>
          <w:sz w:val="24"/>
          <w:szCs w:val="24"/>
        </w:rPr>
      </w:pPr>
      <w:r>
        <w:rPr>
          <w:rFonts w:hint="eastAsia" w:ascii="仿宋" w:hAnsi="仿宋" w:eastAsia="仿宋" w:cs="仿宋"/>
          <w:sz w:val="24"/>
          <w:szCs w:val="24"/>
        </w:rPr>
        <w:t>电子信箱：syzbgs@vip.163.com</w:t>
      </w:r>
    </w:p>
    <w:p>
      <w:pPr>
        <w:spacing w:line="360" w:lineRule="auto"/>
        <w:jc w:val="left"/>
        <w:rPr>
          <w:rFonts w:ascii="仿宋" w:hAnsi="仿宋" w:eastAsia="仿宋" w:cs="仿宋"/>
          <w:sz w:val="24"/>
          <w:szCs w:val="24"/>
        </w:rPr>
      </w:pPr>
      <w:r>
        <w:rPr>
          <w:rFonts w:hint="eastAsia" w:ascii="仿宋" w:hAnsi="仿宋" w:eastAsia="仿宋" w:cs="仿宋"/>
          <w:sz w:val="24"/>
          <w:szCs w:val="24"/>
        </w:rPr>
        <w:t>邮编：250000</w:t>
      </w:r>
    </w:p>
    <w:p>
      <w:pPr>
        <w:spacing w:line="360" w:lineRule="auto"/>
        <w:jc w:val="right"/>
        <w:rPr>
          <w:rFonts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02</w:t>
      </w:r>
      <w:r>
        <w:rPr>
          <w:rFonts w:hint="eastAsia" w:ascii="仿宋" w:hAnsi="仿宋" w:eastAsia="仿宋" w:cs="仿宋"/>
          <w:sz w:val="24"/>
          <w:szCs w:val="24"/>
        </w:rPr>
        <w:t>月</w:t>
      </w:r>
    </w:p>
    <w:p>
      <w:pPr>
        <w:spacing w:line="360" w:lineRule="auto"/>
        <w:rPr>
          <w:rFonts w:ascii="仿宋" w:hAnsi="仿宋" w:eastAsia="仿宋" w:cs="仿宋"/>
          <w:sz w:val="24"/>
          <w:szCs w:val="24"/>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pPr>
        <w:tabs>
          <w:tab w:val="left" w:pos="625"/>
        </w:tabs>
        <w:spacing w:line="360" w:lineRule="auto"/>
      </w:pPr>
      <w:r>
        <w:rPr>
          <w:rFonts w:hint="eastAsia" w:ascii="仿宋" w:hAnsi="仿宋" w:eastAsia="仿宋" w:cs="仿宋"/>
          <w:b/>
          <w:szCs w:val="21"/>
        </w:rPr>
        <w:t>附件1：招标需求一览表、专用资质业绩要求</w:t>
      </w:r>
    </w:p>
    <w:tbl>
      <w:tblPr>
        <w:tblStyle w:val="14"/>
        <w:tblW w:w="15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3"/>
        <w:gridCol w:w="1645"/>
        <w:gridCol w:w="1937"/>
        <w:gridCol w:w="1518"/>
        <w:gridCol w:w="1936"/>
        <w:gridCol w:w="1280"/>
        <w:gridCol w:w="10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2" w:hRule="atLeast"/>
          <w:jc w:val="center"/>
        </w:trPr>
        <w:tc>
          <w:tcPr>
            <w:tcW w:w="583"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标号</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分标名称</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包名称</w:t>
            </w:r>
          </w:p>
        </w:tc>
        <w:tc>
          <w:tcPr>
            <w:tcW w:w="1518"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项目描述</w:t>
            </w:r>
          </w:p>
        </w:tc>
        <w:tc>
          <w:tcPr>
            <w:tcW w:w="1936"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sz w:val="15"/>
                <w:szCs w:val="15"/>
              </w:rPr>
              <w:t>供货期</w:t>
            </w:r>
          </w:p>
        </w:tc>
        <w:tc>
          <w:tcPr>
            <w:tcW w:w="12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kern w:val="0"/>
                <w:sz w:val="15"/>
                <w:szCs w:val="15"/>
              </w:rPr>
              <w:t>最高限价（含税）</w:t>
            </w:r>
          </w:p>
          <w:p>
            <w:pPr>
              <w:widowControl/>
              <w:spacing w:line="0" w:lineRule="atLeast"/>
              <w:jc w:val="center"/>
              <w:textAlignment w:val="center"/>
              <w:rPr>
                <w:rFonts w:ascii="仿宋" w:hAnsi="仿宋" w:eastAsia="仿宋" w:cs="仿宋"/>
                <w:b/>
                <w:sz w:val="15"/>
                <w:szCs w:val="15"/>
              </w:rPr>
            </w:pPr>
            <w:r>
              <w:rPr>
                <w:rFonts w:hint="eastAsia" w:ascii="仿宋" w:hAnsi="仿宋" w:eastAsia="仿宋" w:cs="仿宋"/>
                <w:b/>
                <w:kern w:val="0"/>
                <w:sz w:val="15"/>
                <w:szCs w:val="15"/>
              </w:rPr>
              <w:t>万元</w:t>
            </w:r>
          </w:p>
        </w:tc>
        <w:tc>
          <w:tcPr>
            <w:tcW w:w="1041"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kern w:val="0"/>
                <w:sz w:val="15"/>
                <w:szCs w:val="15"/>
              </w:rPr>
              <w:t>保证金（元）</w:t>
            </w:r>
          </w:p>
        </w:tc>
        <w:tc>
          <w:tcPr>
            <w:tcW w:w="5480" w:type="dxa"/>
            <w:tcBorders>
              <w:tl2br w:val="nil"/>
              <w:tr2bl w:val="nil"/>
            </w:tcBorders>
            <w:shd w:val="clear" w:color="auto" w:fill="FFFFFF"/>
            <w:vAlign w:val="center"/>
          </w:tcPr>
          <w:p>
            <w:pPr>
              <w:widowControl/>
              <w:spacing w:line="0" w:lineRule="atLeast"/>
              <w:jc w:val="center"/>
              <w:textAlignment w:val="center"/>
              <w:rPr>
                <w:rFonts w:ascii="仿宋" w:hAnsi="仿宋" w:eastAsia="仿宋" w:cs="仿宋"/>
                <w:b/>
                <w:kern w:val="0"/>
                <w:sz w:val="15"/>
                <w:szCs w:val="15"/>
              </w:rPr>
            </w:pPr>
            <w:r>
              <w:rPr>
                <w:rFonts w:hint="eastAsia" w:ascii="仿宋" w:hAnsi="仿宋" w:eastAsia="仿宋" w:cs="仿宋"/>
                <w:b/>
                <w:bCs/>
                <w:sz w:val="15"/>
                <w:szCs w:val="15"/>
              </w:rPr>
              <w:t>供应商资格要求/业绩要求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1</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预绞丝金具物资采购项目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YTZB20230114KJ预绞丝金具物资采购项目</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预绞丝金具物资采购项目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yellow"/>
                <w:lang w:eastAsia="zh-CN"/>
              </w:rPr>
            </w:pPr>
            <w:r>
              <w:rPr>
                <w:rFonts w:hint="eastAsia" w:ascii="仿宋" w:hAnsi="仿宋" w:eastAsia="仿宋" w:cs="仿宋"/>
                <w:sz w:val="15"/>
                <w:szCs w:val="15"/>
                <w:highlight w:val="none"/>
                <w:lang w:eastAsia="zh-CN"/>
              </w:rPr>
              <w:t>接到订单后15日内交货</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200</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36000</w:t>
            </w:r>
          </w:p>
        </w:tc>
        <w:tc>
          <w:tcPr>
            <w:tcW w:w="548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w:t>
            </w:r>
          </w:p>
          <w:p>
            <w:pPr>
              <w:widowControl/>
              <w:spacing w:line="360" w:lineRule="auto"/>
              <w:jc w:val="left"/>
              <w:textAlignment w:val="center"/>
              <w:rPr>
                <w:rFonts w:hint="eastAsia"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2.投标人通过质量管理体系、环境管理体系、职业健康安全管理体系认证，认证证书在有效期内；</w:t>
            </w:r>
          </w:p>
          <w:p>
            <w:pPr>
              <w:widowControl/>
              <w:spacing w:line="360" w:lineRule="auto"/>
              <w:jc w:val="left"/>
              <w:textAlignment w:val="center"/>
              <w:rPr>
                <w:rFonts w:hint="eastAsia" w:ascii="仿宋" w:hAnsi="仿宋" w:eastAsia="仿宋" w:cs="仿宋"/>
                <w:color w:val="auto"/>
                <w:sz w:val="15"/>
                <w:szCs w:val="15"/>
                <w:highlight w:val="yellow"/>
                <w:lang w:val="en-US" w:eastAsia="zh-CN"/>
              </w:rPr>
            </w:pPr>
            <w:r>
              <w:rPr>
                <w:rFonts w:hint="eastAsia" w:ascii="仿宋" w:hAnsi="仿宋" w:eastAsia="仿宋" w:cs="仿宋"/>
                <w:color w:val="auto"/>
                <w:sz w:val="15"/>
                <w:szCs w:val="15"/>
                <w:highlight w:val="none"/>
                <w:lang w:val="en-US" w:eastAsia="zh-CN"/>
              </w:rPr>
              <w:t>3.提供2020年1月1日至招标公告发布前1日（以合同签订时间为准），同类业绩至少1份。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2</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餐饮消耗材料采购项目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YTZB20230115KJ餐饮消耗材料采购项目</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餐饮消耗材料采购项目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自合同签订后1年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31.828</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5700</w:t>
            </w:r>
          </w:p>
        </w:tc>
        <w:tc>
          <w:tcPr>
            <w:tcW w:w="548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rPr>
            </w:pPr>
            <w:r>
              <w:rPr>
                <w:rFonts w:hint="eastAsia" w:ascii="仿宋" w:hAnsi="仿宋" w:eastAsia="仿宋" w:cs="仿宋"/>
                <w:sz w:val="15"/>
                <w:szCs w:val="15"/>
                <w:highlight w:val="none"/>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2.提供2020年1月1日至招标公告发布前1日（以合同签订时间为准），同类业绩至少1份。</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3</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副食调料类项目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YTZB20230116KJ副食调料类项目</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副食调料类项目</w:t>
            </w:r>
          </w:p>
        </w:tc>
        <w:tc>
          <w:tcPr>
            <w:tcW w:w="1936"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自合同签订后1年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100</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18000</w:t>
            </w:r>
          </w:p>
        </w:tc>
        <w:tc>
          <w:tcPr>
            <w:tcW w:w="548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default"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2.投标人提供有效的食品经营许可证;</w:t>
            </w:r>
          </w:p>
          <w:p>
            <w:pPr>
              <w:widowControl/>
              <w:spacing w:line="360" w:lineRule="auto"/>
              <w:jc w:val="left"/>
              <w:textAlignment w:val="center"/>
              <w:rPr>
                <w:rFonts w:hint="default"/>
                <w:lang w:val="en-US" w:eastAsia="zh-CN"/>
              </w:rPr>
            </w:pPr>
            <w:r>
              <w:rPr>
                <w:rFonts w:hint="eastAsia" w:ascii="仿宋" w:hAnsi="仿宋" w:eastAsia="仿宋" w:cs="仿宋"/>
                <w:sz w:val="15"/>
                <w:szCs w:val="15"/>
                <w:highlight w:val="none"/>
                <w:lang w:val="en-US" w:eastAsia="zh-CN"/>
              </w:rPr>
              <w:t>3.提供2020年1月1日至招标公告发布前1日（以合同签订时间为准），同类业绩至少1份。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4</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蛋类豆制品类项目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YTZB20230117KJ蛋类豆制品类项目</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蛋类豆制品类项目</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yellow"/>
                <w:lang w:eastAsia="zh-CN"/>
              </w:rPr>
            </w:pPr>
            <w:r>
              <w:rPr>
                <w:rFonts w:hint="eastAsia" w:ascii="仿宋" w:hAnsi="仿宋" w:eastAsia="仿宋" w:cs="仿宋"/>
                <w:sz w:val="15"/>
                <w:szCs w:val="15"/>
                <w:highlight w:val="none"/>
                <w:lang w:val="en-US" w:eastAsia="zh-CN"/>
              </w:rPr>
              <w:t>自合同签订后1年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40</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7200</w:t>
            </w:r>
          </w:p>
        </w:tc>
        <w:tc>
          <w:tcPr>
            <w:tcW w:w="5480" w:type="dxa"/>
            <w:tcBorders>
              <w:tl2br w:val="nil"/>
              <w:tr2bl w:val="nil"/>
            </w:tcBorders>
            <w:shd w:val="clear" w:color="auto" w:fill="FFFFFF"/>
            <w:vAlign w:val="center"/>
          </w:tcPr>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1.投标人须具有独立承担民事责任能力的法人单位；</w:t>
            </w:r>
          </w:p>
          <w:p>
            <w:pPr>
              <w:widowControl/>
              <w:spacing w:line="360" w:lineRule="auto"/>
              <w:jc w:val="left"/>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2.投标人提供有效的食品经营许可证;</w:t>
            </w:r>
          </w:p>
          <w:p>
            <w:pPr>
              <w:widowControl/>
              <w:spacing w:line="360" w:lineRule="auto"/>
              <w:jc w:val="left"/>
              <w:textAlignment w:val="center"/>
              <w:rPr>
                <w:rFonts w:hint="eastAsia"/>
                <w:lang w:val="en-US" w:eastAsia="zh-CN"/>
              </w:rPr>
            </w:pPr>
            <w:r>
              <w:rPr>
                <w:rFonts w:hint="eastAsia" w:ascii="仿宋" w:hAnsi="仿宋" w:eastAsia="仿宋" w:cs="仿宋"/>
                <w:sz w:val="15"/>
                <w:szCs w:val="15"/>
                <w:highlight w:val="none"/>
                <w:lang w:val="en-US" w:eastAsia="zh-CN"/>
              </w:rPr>
              <w:t>3.提供2020年1月1日至招标公告发布前1日（以合同签订时间为准），同类业绩至少1份。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vMerge w:val="restart"/>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rPr>
              <w:t>标</w:t>
            </w:r>
            <w:r>
              <w:rPr>
                <w:rFonts w:hint="eastAsia" w:ascii="仿宋" w:hAnsi="仿宋" w:eastAsia="仿宋" w:cs="仿宋"/>
                <w:sz w:val="15"/>
                <w:szCs w:val="15"/>
                <w:highlight w:val="none"/>
                <w:lang w:val="en-US" w:eastAsia="zh-CN"/>
              </w:rPr>
              <w:t>5</w:t>
            </w:r>
          </w:p>
        </w:tc>
        <w:tc>
          <w:tcPr>
            <w:tcW w:w="1645" w:type="dxa"/>
            <w:vMerge w:val="restart"/>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冷鲜肉类采购项目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YTZB20230118KJ冷鲜肉类采购项目1</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冷鲜肉类采购项目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自合同签订后1年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108</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19000</w:t>
            </w:r>
          </w:p>
        </w:tc>
        <w:tc>
          <w:tcPr>
            <w:tcW w:w="548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w:t>
            </w:r>
          </w:p>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2.投标人提供有效的食品经营许可证;</w:t>
            </w:r>
          </w:p>
          <w:p>
            <w:pPr>
              <w:widowControl/>
              <w:spacing w:line="360" w:lineRule="auto"/>
              <w:jc w:val="left"/>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w:t>
            </w:r>
            <w:r>
              <w:rPr>
                <w:rFonts w:hint="eastAsia" w:ascii="仿宋" w:hAnsi="仿宋" w:eastAsia="仿宋" w:cs="仿宋"/>
                <w:sz w:val="15"/>
                <w:szCs w:val="15"/>
                <w:highlight w:val="none"/>
                <w:lang w:val="en-US" w:eastAsia="zh-CN"/>
              </w:rPr>
              <w:t>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vMerge w:val="continue"/>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p>
        </w:tc>
        <w:tc>
          <w:tcPr>
            <w:tcW w:w="1645" w:type="dxa"/>
            <w:vMerge w:val="continue"/>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YTZB20230119KJ冷鲜肉类采购项目2</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eastAsia="zh-CN"/>
              </w:rPr>
            </w:pPr>
            <w:r>
              <w:rPr>
                <w:rFonts w:hint="eastAsia" w:ascii="仿宋" w:hAnsi="仿宋" w:eastAsia="仿宋" w:cs="仿宋"/>
                <w:sz w:val="15"/>
                <w:szCs w:val="15"/>
                <w:highlight w:val="none"/>
                <w:lang w:val="en-US" w:eastAsia="zh-CN"/>
              </w:rPr>
              <w:t>冷鲜肉类采购项目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自合同签订后1年</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72</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12000</w:t>
            </w:r>
          </w:p>
        </w:tc>
        <w:tc>
          <w:tcPr>
            <w:tcW w:w="548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w:t>
            </w:r>
          </w:p>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2.投标人提供有效的食品经营许可证;</w:t>
            </w:r>
          </w:p>
          <w:p>
            <w:pPr>
              <w:widowControl/>
              <w:spacing w:line="360" w:lineRule="auto"/>
              <w:jc w:val="left"/>
              <w:textAlignment w:val="center"/>
              <w:rPr>
                <w:rFonts w:hint="eastAsia" w:ascii="仿宋" w:hAnsi="仿宋" w:eastAsia="仿宋" w:cs="仿宋"/>
                <w:color w:val="auto"/>
                <w:kern w:val="2"/>
                <w:sz w:val="15"/>
                <w:szCs w:val="15"/>
                <w:highlight w:val="none"/>
                <w:lang w:val="en-US" w:eastAsia="zh-CN" w:bidi="ar-SA"/>
              </w:rPr>
            </w:pPr>
            <w:r>
              <w:rPr>
                <w:rFonts w:hint="eastAsia" w:ascii="仿宋" w:hAnsi="仿宋" w:eastAsia="仿宋" w:cs="仿宋"/>
                <w:color w:val="auto"/>
                <w:sz w:val="15"/>
                <w:szCs w:val="15"/>
                <w:highlight w:val="none"/>
                <w:lang w:val="en-US" w:eastAsia="zh-CN"/>
              </w:rPr>
              <w:t>3.</w:t>
            </w:r>
            <w:r>
              <w:rPr>
                <w:rFonts w:hint="eastAsia" w:ascii="仿宋" w:hAnsi="仿宋" w:eastAsia="仿宋" w:cs="仿宋"/>
                <w:sz w:val="15"/>
                <w:szCs w:val="15"/>
                <w:highlight w:val="none"/>
                <w:lang w:val="en-US" w:eastAsia="zh-CN"/>
              </w:rPr>
              <w:t>提供2020年1月1日至招标公告发布前1日（以合同签订时间为准），同类业绩至少1份。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标6</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实验室内排风系统等物资采购项目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YTZB20230120实验室内排风系统等物资采购项目</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实验室内排风系统等物资采购项目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sz w:val="15"/>
                <w:szCs w:val="15"/>
                <w:highlight w:val="yellow"/>
                <w:lang w:val="en-US" w:eastAsia="zh-CN"/>
              </w:rPr>
            </w:pPr>
            <w:r>
              <w:rPr>
                <w:rFonts w:hint="eastAsia" w:ascii="仿宋" w:hAnsi="仿宋" w:eastAsia="仿宋" w:cs="仿宋"/>
                <w:sz w:val="15"/>
                <w:szCs w:val="15"/>
                <w:highlight w:val="none"/>
                <w:lang w:val="en-US" w:eastAsia="zh-CN"/>
              </w:rPr>
              <w:t>自签订合同之日起90日内</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50</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9000</w:t>
            </w:r>
          </w:p>
        </w:tc>
        <w:tc>
          <w:tcPr>
            <w:tcW w:w="5480" w:type="dxa"/>
            <w:tcBorders>
              <w:tl2br w:val="nil"/>
              <w:tr2bl w:val="nil"/>
            </w:tcBorders>
            <w:shd w:val="clear" w:color="auto" w:fill="FFFFFF"/>
            <w:vAlign w:val="center"/>
          </w:tcPr>
          <w:p>
            <w:pPr>
              <w:widowControl/>
              <w:numPr>
                <w:ilvl w:val="0"/>
                <w:numId w:val="0"/>
              </w:numPr>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w:t>
            </w:r>
          </w:p>
          <w:p>
            <w:pPr>
              <w:widowControl/>
              <w:numPr>
                <w:ilvl w:val="0"/>
                <w:numId w:val="0"/>
              </w:numPr>
              <w:spacing w:line="360" w:lineRule="auto"/>
              <w:jc w:val="left"/>
              <w:textAlignment w:val="center"/>
              <w:rPr>
                <w:rFonts w:hint="default" w:ascii="仿宋" w:hAnsi="仿宋" w:eastAsia="仿宋" w:cs="仿宋"/>
                <w:color w:val="auto"/>
                <w:sz w:val="15"/>
                <w:szCs w:val="15"/>
                <w:highlight w:val="yellow"/>
                <w:lang w:val="en-US" w:eastAsia="zh-CN"/>
              </w:rPr>
            </w:pPr>
            <w:r>
              <w:rPr>
                <w:rFonts w:hint="eastAsia" w:ascii="仿宋" w:hAnsi="仿宋" w:eastAsia="仿宋" w:cs="仿宋"/>
                <w:color w:val="auto"/>
                <w:sz w:val="15"/>
                <w:szCs w:val="15"/>
                <w:highlight w:val="none"/>
                <w:lang w:val="en-US" w:eastAsia="zh-CN"/>
              </w:rPr>
              <w:t>2.</w:t>
            </w:r>
            <w:r>
              <w:rPr>
                <w:rFonts w:hint="eastAsia" w:ascii="仿宋" w:hAnsi="仿宋" w:eastAsia="仿宋" w:cs="仿宋"/>
                <w:sz w:val="15"/>
                <w:szCs w:val="15"/>
                <w:highlight w:val="none"/>
                <w:lang w:val="en-US" w:eastAsia="zh-CN"/>
              </w:rPr>
              <w:t>提供2020年1月1日至招标公告发布前1日（以合同签订时间为准），同类产品业绩至少1份。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4" w:hRule="atLeast"/>
          <w:jc w:val="center"/>
        </w:trPr>
        <w:tc>
          <w:tcPr>
            <w:tcW w:w="583"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标7</w:t>
            </w:r>
          </w:p>
        </w:tc>
        <w:tc>
          <w:tcPr>
            <w:tcW w:w="1645"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sz w:val="15"/>
                <w:szCs w:val="15"/>
                <w:highlight w:val="none"/>
                <w:lang w:val="en-US" w:eastAsia="zh-CN"/>
              </w:rPr>
            </w:pPr>
            <w:r>
              <w:rPr>
                <w:rFonts w:hint="eastAsia" w:ascii="仿宋" w:hAnsi="仿宋" w:eastAsia="仿宋" w:cs="仿宋"/>
                <w:sz w:val="15"/>
                <w:szCs w:val="15"/>
                <w:highlight w:val="none"/>
                <w:lang w:val="en-US" w:eastAsia="zh-CN"/>
              </w:rPr>
              <w:t>输电线路铁塔加固维修物资采购项目</w:t>
            </w:r>
          </w:p>
        </w:tc>
        <w:tc>
          <w:tcPr>
            <w:tcW w:w="1937" w:type="dxa"/>
            <w:tcBorders>
              <w:tl2br w:val="nil"/>
              <w:tr2bl w:val="nil"/>
            </w:tcBorders>
            <w:shd w:val="clear" w:color="auto" w:fill="FFFFFF"/>
            <w:tcMar>
              <w:top w:w="0" w:type="dxa"/>
              <w:left w:w="108" w:type="dxa"/>
              <w:bottom w:w="0" w:type="dxa"/>
              <w:right w:w="108" w:type="dxa"/>
            </w:tcMar>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GJZB20230121KJ输电线路铁塔加固维修物资采购项目</w:t>
            </w:r>
          </w:p>
        </w:tc>
        <w:tc>
          <w:tcPr>
            <w:tcW w:w="1518"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sz w:val="15"/>
                <w:szCs w:val="15"/>
                <w:highlight w:val="none"/>
                <w:lang w:val="en-US" w:eastAsia="zh-CN"/>
              </w:rPr>
              <w:t>输电线路铁塔加固维修物资采购项目</w:t>
            </w:r>
          </w:p>
        </w:tc>
        <w:tc>
          <w:tcPr>
            <w:tcW w:w="1936"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sz w:val="15"/>
                <w:szCs w:val="15"/>
                <w:highlight w:val="none"/>
                <w:lang w:eastAsia="zh-CN"/>
              </w:rPr>
            </w:pPr>
            <w:r>
              <w:rPr>
                <w:rFonts w:hint="eastAsia" w:ascii="仿宋" w:hAnsi="仿宋" w:eastAsia="仿宋" w:cs="仿宋"/>
                <w:sz w:val="15"/>
                <w:szCs w:val="15"/>
                <w:highlight w:val="none"/>
                <w:lang w:eastAsia="zh-CN"/>
              </w:rPr>
              <w:t>根据甲方订单要求</w:t>
            </w:r>
          </w:p>
        </w:tc>
        <w:tc>
          <w:tcPr>
            <w:tcW w:w="1280" w:type="dxa"/>
            <w:tcBorders>
              <w:tl2br w:val="nil"/>
              <w:tr2bl w:val="nil"/>
            </w:tcBorders>
            <w:shd w:val="clear" w:color="auto" w:fill="FFFFFF"/>
            <w:vAlign w:val="center"/>
          </w:tcPr>
          <w:p>
            <w:pPr>
              <w:widowControl/>
              <w:spacing w:line="360" w:lineRule="auto"/>
              <w:jc w:val="center"/>
              <w:textAlignment w:val="center"/>
              <w:rPr>
                <w:rFonts w:hint="eastAsia"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80</w:t>
            </w:r>
          </w:p>
        </w:tc>
        <w:tc>
          <w:tcPr>
            <w:tcW w:w="1041" w:type="dxa"/>
            <w:tcBorders>
              <w:tl2br w:val="nil"/>
              <w:tr2bl w:val="nil"/>
            </w:tcBorders>
            <w:shd w:val="clear" w:color="auto" w:fill="FFFFFF"/>
            <w:vAlign w:val="center"/>
          </w:tcPr>
          <w:p>
            <w:pPr>
              <w:widowControl/>
              <w:spacing w:line="360" w:lineRule="auto"/>
              <w:jc w:val="center"/>
              <w:textAlignment w:val="center"/>
              <w:rPr>
                <w:rFonts w:hint="default" w:ascii="仿宋" w:hAnsi="仿宋" w:eastAsia="仿宋" w:cs="仿宋"/>
                <w:kern w:val="2"/>
                <w:sz w:val="15"/>
                <w:szCs w:val="15"/>
                <w:highlight w:val="none"/>
                <w:lang w:val="en-US" w:eastAsia="zh-CN" w:bidi="ar-SA"/>
              </w:rPr>
            </w:pPr>
            <w:r>
              <w:rPr>
                <w:rFonts w:hint="eastAsia" w:ascii="仿宋" w:hAnsi="仿宋" w:eastAsia="仿宋" w:cs="仿宋"/>
                <w:kern w:val="2"/>
                <w:sz w:val="15"/>
                <w:szCs w:val="15"/>
                <w:highlight w:val="none"/>
                <w:lang w:val="en-US" w:eastAsia="zh-CN" w:bidi="ar-SA"/>
              </w:rPr>
              <w:t>14000</w:t>
            </w:r>
          </w:p>
        </w:tc>
        <w:tc>
          <w:tcPr>
            <w:tcW w:w="5480" w:type="dxa"/>
            <w:tcBorders>
              <w:tl2br w:val="nil"/>
              <w:tr2bl w:val="nil"/>
            </w:tcBorders>
            <w:shd w:val="clear" w:color="auto" w:fill="FFFFFF"/>
            <w:vAlign w:val="center"/>
          </w:tcPr>
          <w:p>
            <w:pPr>
              <w:widowControl/>
              <w:spacing w:line="360" w:lineRule="auto"/>
              <w:jc w:val="left"/>
              <w:textAlignment w:val="center"/>
              <w:rPr>
                <w:rFonts w:hint="default" w:ascii="仿宋" w:hAnsi="仿宋" w:eastAsia="仿宋" w:cs="仿宋"/>
                <w:color w:val="auto"/>
                <w:sz w:val="15"/>
                <w:szCs w:val="15"/>
                <w:highlight w:val="none"/>
                <w:lang w:val="en-US" w:eastAsia="zh-CN"/>
              </w:rPr>
            </w:pPr>
            <w:r>
              <w:rPr>
                <w:rFonts w:hint="eastAsia" w:ascii="仿宋" w:hAnsi="仿宋" w:eastAsia="仿宋" w:cs="仿宋"/>
                <w:color w:val="auto"/>
                <w:sz w:val="15"/>
                <w:szCs w:val="15"/>
                <w:highlight w:val="none"/>
                <w:lang w:val="en-US" w:eastAsia="zh-CN"/>
              </w:rPr>
              <w:t>1.</w:t>
            </w:r>
            <w:r>
              <w:rPr>
                <w:rFonts w:hint="default" w:ascii="仿宋" w:hAnsi="仿宋" w:eastAsia="仿宋" w:cs="仿宋"/>
                <w:color w:val="auto"/>
                <w:sz w:val="15"/>
                <w:szCs w:val="15"/>
                <w:highlight w:val="none"/>
                <w:lang w:val="en-US" w:eastAsia="zh-CN"/>
              </w:rPr>
              <w:t>投标人须具有独立承担民事责任能力的法人单位；</w:t>
            </w:r>
          </w:p>
          <w:p>
            <w:pPr>
              <w:widowControl/>
              <w:spacing w:line="360" w:lineRule="auto"/>
              <w:jc w:val="left"/>
              <w:textAlignment w:val="center"/>
              <w:rPr>
                <w:rFonts w:hint="eastAsia" w:ascii="仿宋" w:hAnsi="仿宋" w:eastAsia="仿宋" w:cs="仿宋"/>
                <w:color w:val="auto"/>
                <w:sz w:val="15"/>
                <w:szCs w:val="15"/>
                <w:highlight w:val="yellow"/>
                <w:lang w:val="en-US" w:eastAsia="zh-CN"/>
              </w:rPr>
            </w:pPr>
            <w:r>
              <w:rPr>
                <w:rFonts w:hint="eastAsia" w:ascii="仿宋" w:hAnsi="仿宋" w:eastAsia="仿宋" w:cs="仿宋"/>
                <w:b w:val="0"/>
                <w:bCs w:val="0"/>
                <w:color w:val="auto"/>
                <w:sz w:val="15"/>
                <w:szCs w:val="15"/>
                <w:highlight w:val="none"/>
                <w:lang w:val="en-US" w:eastAsia="zh-CN"/>
              </w:rPr>
              <w:t>2.投标单位产品必须具有与本项目采购产品相关的输变电钢管结构产品检测合格证书，在有效期内。</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8058E0"/>
    <w:multiLevelType w:val="multilevel"/>
    <w:tmpl w:val="738058E0"/>
    <w:lvl w:ilvl="0" w:tentative="0">
      <w:start w:val="9"/>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g2MTVhN2YwOGU0M2QxZjAwMWRmNWM5ZTg4ZmM3YWYifQ=="/>
  </w:docVars>
  <w:rsids>
    <w:rsidRoot w:val="00F9588E"/>
    <w:rsid w:val="0000658A"/>
    <w:rsid w:val="000713FF"/>
    <w:rsid w:val="00134F56"/>
    <w:rsid w:val="0014561C"/>
    <w:rsid w:val="001836BE"/>
    <w:rsid w:val="001B4CBC"/>
    <w:rsid w:val="00202CD5"/>
    <w:rsid w:val="002577F1"/>
    <w:rsid w:val="00281A46"/>
    <w:rsid w:val="00337CC7"/>
    <w:rsid w:val="00417293"/>
    <w:rsid w:val="004532FF"/>
    <w:rsid w:val="004570DD"/>
    <w:rsid w:val="0047524A"/>
    <w:rsid w:val="00540CC0"/>
    <w:rsid w:val="0057375F"/>
    <w:rsid w:val="00590139"/>
    <w:rsid w:val="005C2243"/>
    <w:rsid w:val="005C4F8B"/>
    <w:rsid w:val="0068619F"/>
    <w:rsid w:val="006C777A"/>
    <w:rsid w:val="00713779"/>
    <w:rsid w:val="00727848"/>
    <w:rsid w:val="007452E4"/>
    <w:rsid w:val="007C395E"/>
    <w:rsid w:val="008C5036"/>
    <w:rsid w:val="008D1FEC"/>
    <w:rsid w:val="009A1A45"/>
    <w:rsid w:val="009C0CAF"/>
    <w:rsid w:val="00A20ECD"/>
    <w:rsid w:val="00A347C5"/>
    <w:rsid w:val="00B00C9B"/>
    <w:rsid w:val="00B12DD6"/>
    <w:rsid w:val="00B527AC"/>
    <w:rsid w:val="00D811D8"/>
    <w:rsid w:val="00DA3B4D"/>
    <w:rsid w:val="00DA5A97"/>
    <w:rsid w:val="00DB1883"/>
    <w:rsid w:val="00EE3608"/>
    <w:rsid w:val="00F330E2"/>
    <w:rsid w:val="00F9588E"/>
    <w:rsid w:val="00FD0479"/>
    <w:rsid w:val="00FF2CD1"/>
    <w:rsid w:val="012F5F9F"/>
    <w:rsid w:val="01560C54"/>
    <w:rsid w:val="015F1027"/>
    <w:rsid w:val="019055CB"/>
    <w:rsid w:val="01B1041C"/>
    <w:rsid w:val="01B97F5E"/>
    <w:rsid w:val="01EB5614"/>
    <w:rsid w:val="01EF7212"/>
    <w:rsid w:val="024F60AA"/>
    <w:rsid w:val="02B40E52"/>
    <w:rsid w:val="02D57A82"/>
    <w:rsid w:val="03637A5D"/>
    <w:rsid w:val="03CB601C"/>
    <w:rsid w:val="03F03698"/>
    <w:rsid w:val="046F0F06"/>
    <w:rsid w:val="049B1423"/>
    <w:rsid w:val="04A71C43"/>
    <w:rsid w:val="04C85543"/>
    <w:rsid w:val="04F96D2A"/>
    <w:rsid w:val="050242AD"/>
    <w:rsid w:val="0509718E"/>
    <w:rsid w:val="05990CAE"/>
    <w:rsid w:val="05BF4560"/>
    <w:rsid w:val="05E57553"/>
    <w:rsid w:val="06003583"/>
    <w:rsid w:val="065C7200"/>
    <w:rsid w:val="071D0339"/>
    <w:rsid w:val="07567C06"/>
    <w:rsid w:val="078B5EF9"/>
    <w:rsid w:val="07EF0D41"/>
    <w:rsid w:val="08177384"/>
    <w:rsid w:val="081E31E9"/>
    <w:rsid w:val="083018DA"/>
    <w:rsid w:val="0860656F"/>
    <w:rsid w:val="08AD4685"/>
    <w:rsid w:val="09555CE0"/>
    <w:rsid w:val="096D76C2"/>
    <w:rsid w:val="09F16201"/>
    <w:rsid w:val="0A14667A"/>
    <w:rsid w:val="0A177036"/>
    <w:rsid w:val="0A4D0377"/>
    <w:rsid w:val="0AC35F9A"/>
    <w:rsid w:val="0B9235C3"/>
    <w:rsid w:val="0C2F04E7"/>
    <w:rsid w:val="0D0F04D3"/>
    <w:rsid w:val="0D234CDB"/>
    <w:rsid w:val="0D2546FA"/>
    <w:rsid w:val="0D4E7A8C"/>
    <w:rsid w:val="0DC108C7"/>
    <w:rsid w:val="0DCB704F"/>
    <w:rsid w:val="0DF450C4"/>
    <w:rsid w:val="0E206C35"/>
    <w:rsid w:val="0E655C57"/>
    <w:rsid w:val="0E681E9F"/>
    <w:rsid w:val="0EE77BE1"/>
    <w:rsid w:val="0F340F65"/>
    <w:rsid w:val="0F75567B"/>
    <w:rsid w:val="0FB12275"/>
    <w:rsid w:val="0FF705D0"/>
    <w:rsid w:val="0FFC1929"/>
    <w:rsid w:val="10044A9B"/>
    <w:rsid w:val="1039308D"/>
    <w:rsid w:val="10414B65"/>
    <w:rsid w:val="10B72CD9"/>
    <w:rsid w:val="11051015"/>
    <w:rsid w:val="111D5E14"/>
    <w:rsid w:val="115447B9"/>
    <w:rsid w:val="11623C1C"/>
    <w:rsid w:val="11EA7DAE"/>
    <w:rsid w:val="11F23D8A"/>
    <w:rsid w:val="121C256F"/>
    <w:rsid w:val="12276063"/>
    <w:rsid w:val="1285412D"/>
    <w:rsid w:val="129E1DE1"/>
    <w:rsid w:val="14664F91"/>
    <w:rsid w:val="14667AD2"/>
    <w:rsid w:val="14792BFB"/>
    <w:rsid w:val="147D6AE6"/>
    <w:rsid w:val="14922675"/>
    <w:rsid w:val="14967213"/>
    <w:rsid w:val="14AE6757"/>
    <w:rsid w:val="15377489"/>
    <w:rsid w:val="15535A86"/>
    <w:rsid w:val="157F6CE8"/>
    <w:rsid w:val="15D516BA"/>
    <w:rsid w:val="163C33C7"/>
    <w:rsid w:val="1640057A"/>
    <w:rsid w:val="16897AA8"/>
    <w:rsid w:val="16A41D34"/>
    <w:rsid w:val="173F1128"/>
    <w:rsid w:val="17756DB5"/>
    <w:rsid w:val="17A23FC1"/>
    <w:rsid w:val="17CB595D"/>
    <w:rsid w:val="182A678E"/>
    <w:rsid w:val="189248B4"/>
    <w:rsid w:val="18A548E4"/>
    <w:rsid w:val="18DA0A8E"/>
    <w:rsid w:val="190D174E"/>
    <w:rsid w:val="19281D40"/>
    <w:rsid w:val="1954195E"/>
    <w:rsid w:val="195A6844"/>
    <w:rsid w:val="199329F2"/>
    <w:rsid w:val="19BF5635"/>
    <w:rsid w:val="19CE0B94"/>
    <w:rsid w:val="1A335FFC"/>
    <w:rsid w:val="1A3B20EE"/>
    <w:rsid w:val="1A772A0D"/>
    <w:rsid w:val="1AD8490D"/>
    <w:rsid w:val="1B4176F8"/>
    <w:rsid w:val="1BBD621D"/>
    <w:rsid w:val="1BDD109F"/>
    <w:rsid w:val="1C711ACC"/>
    <w:rsid w:val="1C910F41"/>
    <w:rsid w:val="1CF91639"/>
    <w:rsid w:val="1CF95AC6"/>
    <w:rsid w:val="1E3C2C8E"/>
    <w:rsid w:val="1E8124D1"/>
    <w:rsid w:val="1F0A6344"/>
    <w:rsid w:val="1F130856"/>
    <w:rsid w:val="1F3E19E5"/>
    <w:rsid w:val="1F83128A"/>
    <w:rsid w:val="1F995A35"/>
    <w:rsid w:val="1FA12CCF"/>
    <w:rsid w:val="1FB817D8"/>
    <w:rsid w:val="1FF23E3D"/>
    <w:rsid w:val="1FFB45A1"/>
    <w:rsid w:val="20542ED4"/>
    <w:rsid w:val="20595293"/>
    <w:rsid w:val="20663816"/>
    <w:rsid w:val="208E073C"/>
    <w:rsid w:val="20987301"/>
    <w:rsid w:val="20AF1FEA"/>
    <w:rsid w:val="20DB08EC"/>
    <w:rsid w:val="20F546B7"/>
    <w:rsid w:val="20F93DBC"/>
    <w:rsid w:val="210A49DC"/>
    <w:rsid w:val="21F163D9"/>
    <w:rsid w:val="22246B5C"/>
    <w:rsid w:val="22317EA4"/>
    <w:rsid w:val="22594B8D"/>
    <w:rsid w:val="22615479"/>
    <w:rsid w:val="226D7957"/>
    <w:rsid w:val="22E36B22"/>
    <w:rsid w:val="230043E8"/>
    <w:rsid w:val="232C3F16"/>
    <w:rsid w:val="234A23D1"/>
    <w:rsid w:val="235C2C73"/>
    <w:rsid w:val="23A2690A"/>
    <w:rsid w:val="23B31F24"/>
    <w:rsid w:val="23BC14BC"/>
    <w:rsid w:val="2461699A"/>
    <w:rsid w:val="248D2F69"/>
    <w:rsid w:val="24BE3012"/>
    <w:rsid w:val="251608F9"/>
    <w:rsid w:val="252256B0"/>
    <w:rsid w:val="25987D07"/>
    <w:rsid w:val="25A10296"/>
    <w:rsid w:val="25EA6315"/>
    <w:rsid w:val="26067744"/>
    <w:rsid w:val="264A6EF7"/>
    <w:rsid w:val="264E0DE8"/>
    <w:rsid w:val="26784FA2"/>
    <w:rsid w:val="27096217"/>
    <w:rsid w:val="275742E2"/>
    <w:rsid w:val="284C3915"/>
    <w:rsid w:val="289522DC"/>
    <w:rsid w:val="28AF28D3"/>
    <w:rsid w:val="28ED565C"/>
    <w:rsid w:val="290A43E9"/>
    <w:rsid w:val="297112B9"/>
    <w:rsid w:val="2A241B69"/>
    <w:rsid w:val="2A6B5052"/>
    <w:rsid w:val="2AB15796"/>
    <w:rsid w:val="2AD11383"/>
    <w:rsid w:val="2B3D23C5"/>
    <w:rsid w:val="2B3E2391"/>
    <w:rsid w:val="2B594CE5"/>
    <w:rsid w:val="2B6E47DB"/>
    <w:rsid w:val="2B79395F"/>
    <w:rsid w:val="2B9E76FA"/>
    <w:rsid w:val="2C3712E3"/>
    <w:rsid w:val="2C7519B2"/>
    <w:rsid w:val="2CA04504"/>
    <w:rsid w:val="2CA84CD4"/>
    <w:rsid w:val="2D484532"/>
    <w:rsid w:val="2D517040"/>
    <w:rsid w:val="2D5269EE"/>
    <w:rsid w:val="2D5D58E1"/>
    <w:rsid w:val="2D62285D"/>
    <w:rsid w:val="2D94037D"/>
    <w:rsid w:val="2EC15BD9"/>
    <w:rsid w:val="2ECD493F"/>
    <w:rsid w:val="2EDF69A7"/>
    <w:rsid w:val="2F1C7B6E"/>
    <w:rsid w:val="2F503EA5"/>
    <w:rsid w:val="2F590507"/>
    <w:rsid w:val="2F754A66"/>
    <w:rsid w:val="2FA07DB3"/>
    <w:rsid w:val="2FC94D7C"/>
    <w:rsid w:val="30624C90"/>
    <w:rsid w:val="307E400C"/>
    <w:rsid w:val="3095294E"/>
    <w:rsid w:val="30A44409"/>
    <w:rsid w:val="31451F37"/>
    <w:rsid w:val="31A66AA6"/>
    <w:rsid w:val="31D048FB"/>
    <w:rsid w:val="31DA38DB"/>
    <w:rsid w:val="31E4268F"/>
    <w:rsid w:val="31FA0CA2"/>
    <w:rsid w:val="320278E9"/>
    <w:rsid w:val="325854D0"/>
    <w:rsid w:val="333C14EA"/>
    <w:rsid w:val="33414383"/>
    <w:rsid w:val="338C7B11"/>
    <w:rsid w:val="33AD57DB"/>
    <w:rsid w:val="33B24F66"/>
    <w:rsid w:val="33BD5C51"/>
    <w:rsid w:val="33D75E9F"/>
    <w:rsid w:val="34002886"/>
    <w:rsid w:val="34282747"/>
    <w:rsid w:val="344F1AE2"/>
    <w:rsid w:val="347B18CE"/>
    <w:rsid w:val="34894381"/>
    <w:rsid w:val="352A5469"/>
    <w:rsid w:val="352D4825"/>
    <w:rsid w:val="35551771"/>
    <w:rsid w:val="35D94150"/>
    <w:rsid w:val="35FA7C22"/>
    <w:rsid w:val="361E299D"/>
    <w:rsid w:val="363268B0"/>
    <w:rsid w:val="36474AB1"/>
    <w:rsid w:val="36723C5D"/>
    <w:rsid w:val="368B45C1"/>
    <w:rsid w:val="369D375A"/>
    <w:rsid w:val="36ED5C44"/>
    <w:rsid w:val="370F5CC0"/>
    <w:rsid w:val="372E04CB"/>
    <w:rsid w:val="3741658C"/>
    <w:rsid w:val="375077F5"/>
    <w:rsid w:val="3766588D"/>
    <w:rsid w:val="379930B7"/>
    <w:rsid w:val="379A7F64"/>
    <w:rsid w:val="37B31F05"/>
    <w:rsid w:val="37E0159A"/>
    <w:rsid w:val="37F60EFC"/>
    <w:rsid w:val="37FE6076"/>
    <w:rsid w:val="38082ACA"/>
    <w:rsid w:val="38452862"/>
    <w:rsid w:val="38A6751C"/>
    <w:rsid w:val="38C43831"/>
    <w:rsid w:val="38EE480F"/>
    <w:rsid w:val="38F44A04"/>
    <w:rsid w:val="3951224F"/>
    <w:rsid w:val="39BA6046"/>
    <w:rsid w:val="39CF466D"/>
    <w:rsid w:val="39D30548"/>
    <w:rsid w:val="3A064DE8"/>
    <w:rsid w:val="3A0A0D21"/>
    <w:rsid w:val="3A365B08"/>
    <w:rsid w:val="3A9B6522"/>
    <w:rsid w:val="3AA34791"/>
    <w:rsid w:val="3AF115C3"/>
    <w:rsid w:val="3AFD56A9"/>
    <w:rsid w:val="3B625B39"/>
    <w:rsid w:val="3B732487"/>
    <w:rsid w:val="3B805A0C"/>
    <w:rsid w:val="3B8A5BD4"/>
    <w:rsid w:val="3B934DA1"/>
    <w:rsid w:val="3B994F8C"/>
    <w:rsid w:val="3BE21884"/>
    <w:rsid w:val="3C41414F"/>
    <w:rsid w:val="3CCD67EF"/>
    <w:rsid w:val="3CCF005B"/>
    <w:rsid w:val="3CDB07AE"/>
    <w:rsid w:val="3CEB26D2"/>
    <w:rsid w:val="3D106F08"/>
    <w:rsid w:val="3D366A62"/>
    <w:rsid w:val="3D7D3613"/>
    <w:rsid w:val="3E377224"/>
    <w:rsid w:val="3E521924"/>
    <w:rsid w:val="3E793BB7"/>
    <w:rsid w:val="3EB214E7"/>
    <w:rsid w:val="3ECC44C9"/>
    <w:rsid w:val="3F0F5924"/>
    <w:rsid w:val="3F566811"/>
    <w:rsid w:val="3F99102C"/>
    <w:rsid w:val="3FA44372"/>
    <w:rsid w:val="3FF06A85"/>
    <w:rsid w:val="3FFF028B"/>
    <w:rsid w:val="40135D61"/>
    <w:rsid w:val="403A1C8F"/>
    <w:rsid w:val="4114428E"/>
    <w:rsid w:val="413062F6"/>
    <w:rsid w:val="416C5E78"/>
    <w:rsid w:val="417D52AA"/>
    <w:rsid w:val="41F612D5"/>
    <w:rsid w:val="41FC2843"/>
    <w:rsid w:val="42A916E2"/>
    <w:rsid w:val="42BB226C"/>
    <w:rsid w:val="42C6780A"/>
    <w:rsid w:val="42D9753D"/>
    <w:rsid w:val="4322266F"/>
    <w:rsid w:val="43B51EE9"/>
    <w:rsid w:val="43BD6E5F"/>
    <w:rsid w:val="440D3115"/>
    <w:rsid w:val="443C0865"/>
    <w:rsid w:val="44832C36"/>
    <w:rsid w:val="44D367CF"/>
    <w:rsid w:val="45446B87"/>
    <w:rsid w:val="45561319"/>
    <w:rsid w:val="45A0094D"/>
    <w:rsid w:val="45E62936"/>
    <w:rsid w:val="45E81B56"/>
    <w:rsid w:val="46242673"/>
    <w:rsid w:val="464878CC"/>
    <w:rsid w:val="46944411"/>
    <w:rsid w:val="46C02A90"/>
    <w:rsid w:val="46D2337C"/>
    <w:rsid w:val="46E56ACD"/>
    <w:rsid w:val="46E83AAF"/>
    <w:rsid w:val="46EE37D3"/>
    <w:rsid w:val="46FE3A16"/>
    <w:rsid w:val="471B1FC0"/>
    <w:rsid w:val="479D6D99"/>
    <w:rsid w:val="47A125F4"/>
    <w:rsid w:val="4831454F"/>
    <w:rsid w:val="49116CB7"/>
    <w:rsid w:val="492522F9"/>
    <w:rsid w:val="4974397A"/>
    <w:rsid w:val="499D2E57"/>
    <w:rsid w:val="4A637DD3"/>
    <w:rsid w:val="4AE81BD0"/>
    <w:rsid w:val="4B646FA9"/>
    <w:rsid w:val="4B8C76FC"/>
    <w:rsid w:val="4B92297F"/>
    <w:rsid w:val="4B9761E7"/>
    <w:rsid w:val="4C4C5224"/>
    <w:rsid w:val="4C584E56"/>
    <w:rsid w:val="4C59349D"/>
    <w:rsid w:val="4C875508"/>
    <w:rsid w:val="4CC1749D"/>
    <w:rsid w:val="4CE30FB8"/>
    <w:rsid w:val="4D1C7EB0"/>
    <w:rsid w:val="4D7D4E16"/>
    <w:rsid w:val="4D7F194F"/>
    <w:rsid w:val="4D834563"/>
    <w:rsid w:val="4D994C53"/>
    <w:rsid w:val="4DBA440F"/>
    <w:rsid w:val="4DC2581C"/>
    <w:rsid w:val="4E485577"/>
    <w:rsid w:val="4E725CBB"/>
    <w:rsid w:val="4E881473"/>
    <w:rsid w:val="4E8A6587"/>
    <w:rsid w:val="4ECA175A"/>
    <w:rsid w:val="4F0A30B0"/>
    <w:rsid w:val="4F2F60E6"/>
    <w:rsid w:val="4F6A776F"/>
    <w:rsid w:val="4F822D0B"/>
    <w:rsid w:val="4FFB6951"/>
    <w:rsid w:val="50403264"/>
    <w:rsid w:val="5080549C"/>
    <w:rsid w:val="508B175F"/>
    <w:rsid w:val="50E6184F"/>
    <w:rsid w:val="51917235"/>
    <w:rsid w:val="51E150E7"/>
    <w:rsid w:val="51EB5D42"/>
    <w:rsid w:val="51EF7509"/>
    <w:rsid w:val="51F65888"/>
    <w:rsid w:val="521B6F37"/>
    <w:rsid w:val="52537150"/>
    <w:rsid w:val="525D0974"/>
    <w:rsid w:val="52AD0A97"/>
    <w:rsid w:val="530913C3"/>
    <w:rsid w:val="53503279"/>
    <w:rsid w:val="53730E2D"/>
    <w:rsid w:val="53A97AFA"/>
    <w:rsid w:val="543209E8"/>
    <w:rsid w:val="543D4D54"/>
    <w:rsid w:val="54402389"/>
    <w:rsid w:val="545574A2"/>
    <w:rsid w:val="54947768"/>
    <w:rsid w:val="54B03AF6"/>
    <w:rsid w:val="55A11C0D"/>
    <w:rsid w:val="55C03264"/>
    <w:rsid w:val="55C7062B"/>
    <w:rsid w:val="55F84197"/>
    <w:rsid w:val="5663516B"/>
    <w:rsid w:val="56D1586A"/>
    <w:rsid w:val="56D40FF1"/>
    <w:rsid w:val="56E6714F"/>
    <w:rsid w:val="572F7DB7"/>
    <w:rsid w:val="57397455"/>
    <w:rsid w:val="57623C6F"/>
    <w:rsid w:val="578251C0"/>
    <w:rsid w:val="57A754EE"/>
    <w:rsid w:val="58CB127E"/>
    <w:rsid w:val="58F44711"/>
    <w:rsid w:val="5A060B64"/>
    <w:rsid w:val="5A413A51"/>
    <w:rsid w:val="5ABD64FE"/>
    <w:rsid w:val="5B3927A1"/>
    <w:rsid w:val="5B876CD8"/>
    <w:rsid w:val="5B9E1F36"/>
    <w:rsid w:val="5BA57EC3"/>
    <w:rsid w:val="5BAF4E87"/>
    <w:rsid w:val="5BB22DD4"/>
    <w:rsid w:val="5C11169E"/>
    <w:rsid w:val="5D630C1E"/>
    <w:rsid w:val="5DC30E14"/>
    <w:rsid w:val="5E1611EE"/>
    <w:rsid w:val="5E604B5F"/>
    <w:rsid w:val="5F847C37"/>
    <w:rsid w:val="5F9E24B2"/>
    <w:rsid w:val="5FA3330A"/>
    <w:rsid w:val="5FFE018B"/>
    <w:rsid w:val="60256402"/>
    <w:rsid w:val="60B61B61"/>
    <w:rsid w:val="60CE2492"/>
    <w:rsid w:val="61490AD8"/>
    <w:rsid w:val="6158156E"/>
    <w:rsid w:val="615F3C93"/>
    <w:rsid w:val="61683A12"/>
    <w:rsid w:val="618D781E"/>
    <w:rsid w:val="61A15272"/>
    <w:rsid w:val="61B07ECE"/>
    <w:rsid w:val="61DB4C28"/>
    <w:rsid w:val="61F41846"/>
    <w:rsid w:val="61F45E54"/>
    <w:rsid w:val="62231F15"/>
    <w:rsid w:val="622825CC"/>
    <w:rsid w:val="62A90C15"/>
    <w:rsid w:val="63372094"/>
    <w:rsid w:val="638A5D55"/>
    <w:rsid w:val="63C53757"/>
    <w:rsid w:val="63FD4B48"/>
    <w:rsid w:val="640B2E77"/>
    <w:rsid w:val="64DF4A2F"/>
    <w:rsid w:val="655820EC"/>
    <w:rsid w:val="655D5954"/>
    <w:rsid w:val="65B53D12"/>
    <w:rsid w:val="65E240AB"/>
    <w:rsid w:val="65F162F4"/>
    <w:rsid w:val="65F242EE"/>
    <w:rsid w:val="660D085C"/>
    <w:rsid w:val="66250854"/>
    <w:rsid w:val="662B15AE"/>
    <w:rsid w:val="666F1EED"/>
    <w:rsid w:val="67372A05"/>
    <w:rsid w:val="67900263"/>
    <w:rsid w:val="67A8242A"/>
    <w:rsid w:val="67B02307"/>
    <w:rsid w:val="67DB669B"/>
    <w:rsid w:val="67DC442E"/>
    <w:rsid w:val="67F325A0"/>
    <w:rsid w:val="67FF0F45"/>
    <w:rsid w:val="68045198"/>
    <w:rsid w:val="683A01CF"/>
    <w:rsid w:val="683A2E8C"/>
    <w:rsid w:val="68424047"/>
    <w:rsid w:val="68453EBF"/>
    <w:rsid w:val="68CA1553"/>
    <w:rsid w:val="68F51286"/>
    <w:rsid w:val="698211F1"/>
    <w:rsid w:val="69A71FBE"/>
    <w:rsid w:val="69B01026"/>
    <w:rsid w:val="69DA1138"/>
    <w:rsid w:val="6A195C2B"/>
    <w:rsid w:val="6A2E7A43"/>
    <w:rsid w:val="6A472A6E"/>
    <w:rsid w:val="6A5437CA"/>
    <w:rsid w:val="6A5F2E5B"/>
    <w:rsid w:val="6A67391D"/>
    <w:rsid w:val="6AA0355B"/>
    <w:rsid w:val="6AED1E8A"/>
    <w:rsid w:val="6B1E5B86"/>
    <w:rsid w:val="6BCE3108"/>
    <w:rsid w:val="6C0F560E"/>
    <w:rsid w:val="6C4A035E"/>
    <w:rsid w:val="6C901C67"/>
    <w:rsid w:val="6D8E14CF"/>
    <w:rsid w:val="6D905F07"/>
    <w:rsid w:val="6D9B716A"/>
    <w:rsid w:val="6DA636BC"/>
    <w:rsid w:val="6DB454B4"/>
    <w:rsid w:val="6DD3742D"/>
    <w:rsid w:val="6DEB2EA8"/>
    <w:rsid w:val="6E0F5839"/>
    <w:rsid w:val="6E184283"/>
    <w:rsid w:val="6E72423B"/>
    <w:rsid w:val="6E731D44"/>
    <w:rsid w:val="6EF92483"/>
    <w:rsid w:val="6F4D6275"/>
    <w:rsid w:val="6F6B2467"/>
    <w:rsid w:val="6F71619F"/>
    <w:rsid w:val="6FA207D9"/>
    <w:rsid w:val="70422316"/>
    <w:rsid w:val="706212F5"/>
    <w:rsid w:val="70ED4030"/>
    <w:rsid w:val="70FF09A0"/>
    <w:rsid w:val="72805D21"/>
    <w:rsid w:val="731735E6"/>
    <w:rsid w:val="73412C41"/>
    <w:rsid w:val="736B22FE"/>
    <w:rsid w:val="739068F9"/>
    <w:rsid w:val="73ED3799"/>
    <w:rsid w:val="73F27BAF"/>
    <w:rsid w:val="741E3917"/>
    <w:rsid w:val="743768E6"/>
    <w:rsid w:val="745F6CAE"/>
    <w:rsid w:val="74EB6AD9"/>
    <w:rsid w:val="74EE2E9B"/>
    <w:rsid w:val="75075AF4"/>
    <w:rsid w:val="7522309F"/>
    <w:rsid w:val="75324D78"/>
    <w:rsid w:val="75921B64"/>
    <w:rsid w:val="75934F8A"/>
    <w:rsid w:val="75A61FCE"/>
    <w:rsid w:val="75D974CB"/>
    <w:rsid w:val="75E13F38"/>
    <w:rsid w:val="75F70A8C"/>
    <w:rsid w:val="763E1CB0"/>
    <w:rsid w:val="7659375C"/>
    <w:rsid w:val="765B5EE0"/>
    <w:rsid w:val="76FA12D1"/>
    <w:rsid w:val="77A447A7"/>
    <w:rsid w:val="77DB72D8"/>
    <w:rsid w:val="78C043FB"/>
    <w:rsid w:val="790E59F7"/>
    <w:rsid w:val="792151BF"/>
    <w:rsid w:val="79430F5B"/>
    <w:rsid w:val="79715A65"/>
    <w:rsid w:val="798069B7"/>
    <w:rsid w:val="79D55FA9"/>
    <w:rsid w:val="79F91C98"/>
    <w:rsid w:val="7A2E70D3"/>
    <w:rsid w:val="7A4E667D"/>
    <w:rsid w:val="7A996FD7"/>
    <w:rsid w:val="7AB64FD1"/>
    <w:rsid w:val="7B1D5D0C"/>
    <w:rsid w:val="7B6E3FBF"/>
    <w:rsid w:val="7BC41206"/>
    <w:rsid w:val="7C252D50"/>
    <w:rsid w:val="7C4456E8"/>
    <w:rsid w:val="7D0C7F34"/>
    <w:rsid w:val="7D4B4634"/>
    <w:rsid w:val="7D7653AD"/>
    <w:rsid w:val="7D8B0DF5"/>
    <w:rsid w:val="7D8B7EC3"/>
    <w:rsid w:val="7D8C04ED"/>
    <w:rsid w:val="7DB93853"/>
    <w:rsid w:val="7E0E2810"/>
    <w:rsid w:val="7E585955"/>
    <w:rsid w:val="7EFA41C3"/>
    <w:rsid w:val="7F1A2FFC"/>
    <w:rsid w:val="7F3C6E5E"/>
    <w:rsid w:val="7F617A28"/>
    <w:rsid w:val="7F6D6802"/>
    <w:rsid w:val="7FB14DC3"/>
    <w:rsid w:val="7FDA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5"/>
    <w:qFormat/>
    <w:uiPriority w:val="0"/>
    <w:pPr>
      <w:keepNext/>
      <w:keepLines/>
      <w:topLinePunct/>
      <w:adjustRightInd w:val="0"/>
      <w:snapToGrid w:val="0"/>
      <w:spacing w:beforeLines="80" w:afterLines="80"/>
      <w:outlineLvl w:val="1"/>
    </w:pPr>
    <w:rPr>
      <w:rFonts w:ascii="Arial" w:hAnsi="Arial" w:eastAsia="黑体"/>
    </w:rPr>
  </w:style>
  <w:style w:type="paragraph" w:styleId="8">
    <w:name w:val="heading 5"/>
    <w:basedOn w:val="1"/>
    <w:next w:val="1"/>
    <w:qFormat/>
    <w:uiPriority w:val="0"/>
    <w:pPr>
      <w:keepNext/>
      <w:keepLines/>
      <w:tabs>
        <w:tab w:val="left" w:pos="1008"/>
      </w:tabs>
      <w:spacing w:before="280" w:after="290" w:line="372" w:lineRule="auto"/>
      <w:ind w:left="1576" w:hanging="1009"/>
      <w:outlineLvl w:val="4"/>
    </w:pPr>
    <w:rPr>
      <w:rFonts w:ascii="楷体" w:hAnsi="楷体" w:eastAsia="楷体"/>
      <w:b/>
      <w:kern w:val="0"/>
      <w:sz w:val="28"/>
      <w:szCs w:val="28"/>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macro"/>
    <w:semiHidden/>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Theme="minorEastAsia" w:cstheme="minorBidi"/>
      <w:kern w:val="2"/>
      <w:sz w:val="24"/>
      <w:lang w:val="en-US" w:eastAsia="zh-CN" w:bidi="ar-SA"/>
    </w:rPr>
  </w:style>
  <w:style w:type="paragraph" w:styleId="5">
    <w:name w:val="Normal Indent"/>
    <w:basedOn w:val="1"/>
    <w:next w:val="6"/>
    <w:qFormat/>
    <w:uiPriority w:val="0"/>
    <w:pPr>
      <w:topLinePunct/>
      <w:ind w:firstLine="420"/>
    </w:pPr>
    <w:rPr>
      <w:szCs w:val="24"/>
    </w:rPr>
  </w:style>
  <w:style w:type="paragraph" w:styleId="6">
    <w:name w:val="Body Text Indent"/>
    <w:basedOn w:val="1"/>
    <w:next w:val="7"/>
    <w:unhideWhenUsed/>
    <w:qFormat/>
    <w:uiPriority w:val="0"/>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2">
    <w:name w:val="Body Text First Indent"/>
    <w:basedOn w:val="2"/>
    <w:qFormat/>
    <w:uiPriority w:val="0"/>
    <w:pPr>
      <w:ind w:firstLine="420" w:firstLineChars="100"/>
    </w:pPr>
    <w:rPr>
      <w:rFonts w:ascii="Bodoni MT" w:hAnsi="Bodoni MT"/>
    </w:rPr>
  </w:style>
  <w:style w:type="paragraph" w:styleId="13">
    <w:name w:val="Body Text First Indent 2"/>
    <w:basedOn w:val="6"/>
    <w:qFormat/>
    <w:uiPriority w:val="0"/>
    <w:pPr>
      <w:autoSpaceDE w:val="0"/>
      <w:autoSpaceDN w:val="0"/>
      <w:adjustRightInd w:val="0"/>
      <w:spacing w:line="360" w:lineRule="auto"/>
      <w:ind w:left="0" w:leftChars="0" w:firstLine="210"/>
      <w:jc w:val="center"/>
    </w:pPr>
    <w:rPr>
      <w:rFonts w:ascii="宋体" w:hAnsi="宋体" w:eastAsia="仿宋_GB2312"/>
      <w:b/>
      <w:kern w:val="0"/>
      <w:sz w:val="24"/>
      <w:lang w:val="zh-CN"/>
    </w:rPr>
  </w:style>
  <w:style w:type="paragraph" w:customStyle="1" w:styleId="16">
    <w:name w:val="链接"/>
    <w:qFormat/>
    <w:uiPriority w:val="0"/>
    <w:pPr>
      <w:widowControl w:val="0"/>
      <w:autoSpaceDE w:val="0"/>
      <w:autoSpaceDN w:val="0"/>
      <w:adjustRightInd w:val="0"/>
      <w:ind w:left="720"/>
    </w:pPr>
    <w:rPr>
      <w:rFonts w:ascii="Calibri" w:hAnsi="Calibri" w:eastAsia="仿宋_GB2312" w:cs="Times New Roman"/>
      <w:sz w:val="32"/>
      <w:szCs w:val="32"/>
      <w:lang w:val="zh-CN" w:eastAsia="zh-CN" w:bidi="ar-SA"/>
    </w:rPr>
  </w:style>
  <w:style w:type="paragraph" w:customStyle="1" w:styleId="17">
    <w:name w:val="列出段落1"/>
    <w:basedOn w:val="1"/>
    <w:qFormat/>
    <w:uiPriority w:val="0"/>
    <w:pPr>
      <w:ind w:firstLine="420" w:firstLineChars="200"/>
    </w:pPr>
    <w:rPr>
      <w:rFonts w:ascii="Calibri" w:hAnsi="Calibri"/>
    </w:rPr>
  </w:style>
  <w:style w:type="paragraph" w:styleId="18">
    <w:name w:val="List Paragraph"/>
    <w:basedOn w:val="1"/>
    <w:unhideWhenUsed/>
    <w:qFormat/>
    <w:uiPriority w:val="99"/>
    <w:pPr>
      <w:ind w:firstLine="420" w:firstLineChars="200"/>
    </w:pPr>
  </w:style>
  <w:style w:type="paragraph" w:customStyle="1" w:styleId="19">
    <w:name w:val="p0"/>
    <w:basedOn w:val="1"/>
    <w:qFormat/>
    <w:uiPriority w:val="0"/>
    <w:pPr>
      <w:widowControl/>
    </w:pPr>
    <w:rPr>
      <w:rFonts w:ascii="Calibri" w:hAnsi="Calibri"/>
      <w:kern w:val="0"/>
      <w:szCs w:val="22"/>
    </w:rPr>
  </w:style>
  <w:style w:type="paragraph" w:customStyle="1" w:styleId="20">
    <w:name w:val="无间距"/>
    <w:qFormat/>
    <w:uiPriority w:val="0"/>
    <w:rPr>
      <w:rFonts w:ascii="Times New Roman" w:hAnsi="Times New Roman" w:eastAsia="Times New Roman" w:cs="Times New Roman"/>
      <w:sz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5106</Words>
  <Characters>5940</Characters>
  <Lines>10</Lines>
  <Paragraphs>12</Paragraphs>
  <TotalTime>1</TotalTime>
  <ScaleCrop>false</ScaleCrop>
  <LinksUpToDate>false</LinksUpToDate>
  <CharactersWithSpaces>5960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2021-11-03T01:17:00Z</dcterms:created>
  <dc:creator>Administrator</dc:creator>
  <cp:lastModifiedBy>A水瓶西柚百香果</cp:lastModifiedBy>
  <cp:lastPrinted>2022-09-29T11:24:00Z</cp:lastPrinted>
  <dcterms:modified xsi:type="dcterms:W3CDTF">2023-02-06T08:27:46Z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6120CF941E9948FDA26FD974F58076FA</vt:lpwstr>
  </property>
</Properties>
</file>