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6"/>
        <w:rPr>
          <w:rFonts w:hint="eastAsia" w:ascii="仿宋" w:hAnsi="仿宋" w:eastAsia="仿宋"/>
          <w:b/>
          <w:color w:val="auto"/>
          <w:sz w:val="24"/>
          <w:szCs w:val="24"/>
          <w:highlight w:val="none"/>
        </w:rPr>
      </w:pPr>
      <w:bookmarkStart w:id="1" w:name="_GoBack"/>
      <w:bookmarkEnd w:id="1"/>
      <w:r>
        <w:rPr>
          <w:rFonts w:hint="eastAsia" w:ascii="仿宋" w:hAnsi="仿宋" w:eastAsia="仿宋"/>
          <w:b/>
          <w:color w:val="auto"/>
          <w:sz w:val="24"/>
          <w:szCs w:val="24"/>
          <w:highlight w:val="none"/>
        </w:rPr>
        <w:t>附件1   招标需求一览表</w:t>
      </w:r>
    </w:p>
    <w:tbl>
      <w:tblPr>
        <w:tblStyle w:val="8"/>
        <w:tblW w:w="146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7"/>
        <w:gridCol w:w="1500"/>
        <w:gridCol w:w="2680"/>
        <w:gridCol w:w="494"/>
        <w:gridCol w:w="1261"/>
        <w:gridCol w:w="957"/>
        <w:gridCol w:w="830"/>
        <w:gridCol w:w="1133"/>
        <w:gridCol w:w="2314"/>
        <w:gridCol w:w="1707"/>
        <w:gridCol w:w="10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767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bookmarkStart w:id="0" w:name="商务初评模板"/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150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物资名称</w:t>
            </w:r>
          </w:p>
        </w:tc>
        <w:tc>
          <w:tcPr>
            <w:tcW w:w="26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主要技术要求</w:t>
            </w:r>
          </w:p>
        </w:tc>
        <w:tc>
          <w:tcPr>
            <w:tcW w:w="49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单位</w:t>
            </w:r>
          </w:p>
        </w:tc>
        <w:tc>
          <w:tcPr>
            <w:tcW w:w="1261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数量</w:t>
            </w:r>
          </w:p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lang w:eastAsia="zh-CN"/>
              </w:rPr>
              <w:t>（</w:t>
            </w: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lang w:val="en-US" w:eastAsia="zh-CN"/>
              </w:rPr>
              <w:t>年度使用量参考</w:t>
            </w: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lang w:eastAsia="zh-CN"/>
              </w:rPr>
              <w:t>）</w:t>
            </w:r>
          </w:p>
        </w:tc>
        <w:tc>
          <w:tcPr>
            <w:tcW w:w="95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交货</w:t>
            </w:r>
          </w:p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日期</w:t>
            </w:r>
          </w:p>
        </w:tc>
        <w:tc>
          <w:tcPr>
            <w:tcW w:w="83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质保期</w:t>
            </w:r>
          </w:p>
        </w:tc>
        <w:tc>
          <w:tcPr>
            <w:tcW w:w="113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  <w:t>交货地点</w:t>
            </w:r>
          </w:p>
        </w:tc>
        <w:tc>
          <w:tcPr>
            <w:tcW w:w="231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/>
                <w:kern w:val="0"/>
                <w:sz w:val="22"/>
                <w:szCs w:val="22"/>
                <w:highlight w:val="none"/>
                <w:lang w:val="en-US" w:eastAsia="zh-CN"/>
              </w:rPr>
              <w:t>专用资质要求</w:t>
            </w:r>
          </w:p>
        </w:tc>
        <w:tc>
          <w:tcPr>
            <w:tcW w:w="170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/>
                <w:kern w:val="0"/>
                <w:sz w:val="22"/>
                <w:szCs w:val="22"/>
                <w:highlight w:val="none"/>
                <w:lang w:val="en-US" w:eastAsia="zh-CN"/>
              </w:rPr>
              <w:t>专用业绩要求</w:t>
            </w:r>
          </w:p>
        </w:tc>
        <w:tc>
          <w:tcPr>
            <w:tcW w:w="1024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/>
                <w:kern w:val="0"/>
                <w:sz w:val="22"/>
                <w:szCs w:val="22"/>
                <w:highlight w:val="none"/>
                <w:lang w:val="en-US" w:eastAsia="zh-CN"/>
              </w:rPr>
              <w:t>保证金（万元）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6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/>
                <w:sz w:val="22"/>
                <w:szCs w:val="22"/>
              </w:rPr>
              <w:t>智能巡检设备配件采购项目</w:t>
            </w:r>
          </w:p>
        </w:tc>
        <w:tc>
          <w:tcPr>
            <w:tcW w:w="150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故障测距装置电源插件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26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</w:rPr>
              <w:t>整体装置具备数据采样、数据上送、数据通信、设备自检、远程调试等功能</w:t>
            </w:r>
          </w:p>
        </w:tc>
        <w:tc>
          <w:tcPr>
            <w:tcW w:w="494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个</w:t>
            </w:r>
          </w:p>
        </w:tc>
        <w:tc>
          <w:tcPr>
            <w:tcW w:w="1261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5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00</w:t>
            </w:r>
          </w:p>
        </w:tc>
        <w:tc>
          <w:tcPr>
            <w:tcW w:w="95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接到供货通知后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30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日内</w:t>
            </w:r>
          </w:p>
        </w:tc>
        <w:tc>
          <w:tcPr>
            <w:tcW w:w="83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3年</w:t>
            </w:r>
          </w:p>
        </w:tc>
        <w:tc>
          <w:tcPr>
            <w:tcW w:w="113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  <w:tc>
          <w:tcPr>
            <w:tcW w:w="231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1.厂商要求:制造商；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2.认证证书：提供有效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的ISO9000系列质量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管理体系认证证书；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3.产品型式试验报告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或检测报告或鉴定报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告：提供国家认可第三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方权威检测机构的有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效的检测报告或型式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试验报告。</w:t>
            </w:r>
          </w:p>
        </w:tc>
        <w:tc>
          <w:tcPr>
            <w:tcW w:w="1707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业绩要求：2020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年1月1日至招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标公告发布之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日内所投故障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监测类产品累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计销售业绩不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少于200万元。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注：业绩必须提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供对应的合同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复印件。</w:t>
            </w:r>
          </w:p>
        </w:tc>
        <w:tc>
          <w:tcPr>
            <w:tcW w:w="1024" w:type="dxa"/>
            <w:vMerge w:val="restart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6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FF0000"/>
                <w:kern w:val="0"/>
                <w:sz w:val="24"/>
                <w:szCs w:val="24"/>
              </w:rPr>
            </w:pPr>
          </w:p>
        </w:tc>
        <w:tc>
          <w:tcPr>
            <w:tcW w:w="150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故障测距装置CPU插件</w:t>
            </w:r>
          </w:p>
        </w:tc>
        <w:tc>
          <w:tcPr>
            <w:tcW w:w="26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</w:rPr>
              <w:t>整体装置具备数据采样、数据上送、数据通信、设备自检、远程调试等功能</w:t>
            </w:r>
          </w:p>
        </w:tc>
        <w:tc>
          <w:tcPr>
            <w:tcW w:w="494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个</w:t>
            </w:r>
          </w:p>
        </w:tc>
        <w:tc>
          <w:tcPr>
            <w:tcW w:w="1261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5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00</w:t>
            </w:r>
          </w:p>
        </w:tc>
        <w:tc>
          <w:tcPr>
            <w:tcW w:w="95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接到供货通知后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30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日内</w:t>
            </w:r>
          </w:p>
        </w:tc>
        <w:tc>
          <w:tcPr>
            <w:tcW w:w="83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3年</w:t>
            </w:r>
          </w:p>
        </w:tc>
        <w:tc>
          <w:tcPr>
            <w:tcW w:w="113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  <w:tc>
          <w:tcPr>
            <w:tcW w:w="2314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70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6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FF0000"/>
                <w:kern w:val="0"/>
                <w:sz w:val="24"/>
                <w:szCs w:val="24"/>
              </w:rPr>
            </w:pPr>
          </w:p>
        </w:tc>
        <w:tc>
          <w:tcPr>
            <w:tcW w:w="150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故障测距装置GPS对时天线</w:t>
            </w:r>
          </w:p>
        </w:tc>
        <w:tc>
          <w:tcPr>
            <w:tcW w:w="26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</w:rPr>
              <w:t>整体装置具备数据采样、数据上送、数据通信、设备自检、远程调试等功能</w:t>
            </w:r>
          </w:p>
        </w:tc>
        <w:tc>
          <w:tcPr>
            <w:tcW w:w="494" w:type="dxa"/>
            <w:shd w:val="clear" w:color="000000" w:fill="FFFFFF"/>
          </w:tcPr>
          <w:p>
            <w:pPr>
              <w:jc w:val="center"/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个</w:t>
            </w:r>
          </w:p>
        </w:tc>
        <w:tc>
          <w:tcPr>
            <w:tcW w:w="1261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5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00</w:t>
            </w:r>
          </w:p>
        </w:tc>
        <w:tc>
          <w:tcPr>
            <w:tcW w:w="95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接到供货通知后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30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日内</w:t>
            </w:r>
          </w:p>
        </w:tc>
        <w:tc>
          <w:tcPr>
            <w:tcW w:w="83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3年</w:t>
            </w:r>
          </w:p>
        </w:tc>
        <w:tc>
          <w:tcPr>
            <w:tcW w:w="113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  <w:tc>
          <w:tcPr>
            <w:tcW w:w="2314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70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6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FF0000"/>
                <w:kern w:val="0"/>
                <w:sz w:val="24"/>
                <w:szCs w:val="24"/>
              </w:rPr>
            </w:pPr>
          </w:p>
        </w:tc>
        <w:tc>
          <w:tcPr>
            <w:tcW w:w="150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故障测距装置AD采样插件</w:t>
            </w:r>
          </w:p>
        </w:tc>
        <w:tc>
          <w:tcPr>
            <w:tcW w:w="26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</w:rPr>
              <w:t>整体装置具备数据采样、数据上送、数据通信、设备自检、远程调试等功能</w:t>
            </w:r>
          </w:p>
        </w:tc>
        <w:tc>
          <w:tcPr>
            <w:tcW w:w="494" w:type="dxa"/>
            <w:shd w:val="clear" w:color="000000" w:fill="FFFFFF"/>
          </w:tcPr>
          <w:p>
            <w:pPr>
              <w:jc w:val="center"/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个</w:t>
            </w:r>
          </w:p>
        </w:tc>
        <w:tc>
          <w:tcPr>
            <w:tcW w:w="1261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5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00</w:t>
            </w:r>
          </w:p>
        </w:tc>
        <w:tc>
          <w:tcPr>
            <w:tcW w:w="95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接到供货通知后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30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日内</w:t>
            </w:r>
          </w:p>
        </w:tc>
        <w:tc>
          <w:tcPr>
            <w:tcW w:w="83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3年</w:t>
            </w:r>
          </w:p>
        </w:tc>
        <w:tc>
          <w:tcPr>
            <w:tcW w:w="113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  <w:tc>
          <w:tcPr>
            <w:tcW w:w="2314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70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6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FF0000"/>
                <w:kern w:val="0"/>
                <w:sz w:val="24"/>
                <w:szCs w:val="24"/>
              </w:rPr>
            </w:pPr>
          </w:p>
        </w:tc>
        <w:tc>
          <w:tcPr>
            <w:tcW w:w="150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故障测距装置GPS插件</w:t>
            </w:r>
          </w:p>
        </w:tc>
        <w:tc>
          <w:tcPr>
            <w:tcW w:w="26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</w:rPr>
              <w:t>整体装置具备数据采样、数据上送、数据通信、设备自检、远程调试等功能</w:t>
            </w:r>
          </w:p>
        </w:tc>
        <w:tc>
          <w:tcPr>
            <w:tcW w:w="494" w:type="dxa"/>
            <w:shd w:val="clear" w:color="000000" w:fill="FFFFFF"/>
          </w:tcPr>
          <w:p>
            <w:pPr>
              <w:jc w:val="center"/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个</w:t>
            </w:r>
          </w:p>
        </w:tc>
        <w:tc>
          <w:tcPr>
            <w:tcW w:w="1261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5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00</w:t>
            </w:r>
          </w:p>
        </w:tc>
        <w:tc>
          <w:tcPr>
            <w:tcW w:w="95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接到供货通知后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30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日内</w:t>
            </w:r>
          </w:p>
        </w:tc>
        <w:tc>
          <w:tcPr>
            <w:tcW w:w="83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3年</w:t>
            </w:r>
          </w:p>
        </w:tc>
        <w:tc>
          <w:tcPr>
            <w:tcW w:w="113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  <w:tc>
          <w:tcPr>
            <w:tcW w:w="2314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70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767" w:type="dxa"/>
            <w:vMerge w:val="continue"/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FF0000"/>
                <w:kern w:val="0"/>
                <w:sz w:val="24"/>
                <w:szCs w:val="24"/>
              </w:rPr>
            </w:pP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线缆防爆保护装置</w:t>
            </w:r>
          </w:p>
        </w:tc>
        <w:tc>
          <w:tcPr>
            <w:tcW w:w="2680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仿宋"/>
                <w:kern w:val="0"/>
                <w:sz w:val="22"/>
                <w:szCs w:val="22"/>
              </w:rPr>
              <w:t>提供电压12kV。短路电流20kA（有效值），50kA（峰值）。短路时间：0.1s。起到阻燃防爆功能</w:t>
            </w:r>
          </w:p>
        </w:tc>
        <w:tc>
          <w:tcPr>
            <w:tcW w:w="494" w:type="dxa"/>
            <w:shd w:val="clear" w:color="000000" w:fill="FFFFFF"/>
          </w:tcPr>
          <w:p>
            <w:pPr>
              <w:jc w:val="center"/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个</w:t>
            </w:r>
          </w:p>
        </w:tc>
        <w:tc>
          <w:tcPr>
            <w:tcW w:w="1261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5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00</w:t>
            </w:r>
          </w:p>
        </w:tc>
        <w:tc>
          <w:tcPr>
            <w:tcW w:w="957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接到供货通知后</w:t>
            </w:r>
            <w:r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30</w:t>
            </w: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日内</w:t>
            </w:r>
          </w:p>
        </w:tc>
        <w:tc>
          <w:tcPr>
            <w:tcW w:w="830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kern w:val="0"/>
                <w:sz w:val="22"/>
                <w:szCs w:val="22"/>
              </w:rPr>
              <w:t>3年</w:t>
            </w:r>
          </w:p>
        </w:tc>
        <w:tc>
          <w:tcPr>
            <w:tcW w:w="1133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  <w:t>买方指定仓库地面交货</w:t>
            </w:r>
          </w:p>
        </w:tc>
        <w:tc>
          <w:tcPr>
            <w:tcW w:w="2314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707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024" w:type="dxa"/>
            <w:vMerge w:val="continue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color w:val="000000" w:themeColor="text1"/>
                <w:kern w:val="0"/>
                <w:sz w:val="22"/>
                <w:szCs w:val="22"/>
              </w:rPr>
            </w:pPr>
          </w:p>
        </w:tc>
      </w:tr>
    </w:tbl>
    <w:p>
      <w:pPr>
        <w:pStyle w:val="17"/>
        <w:rPr>
          <w:rFonts w:ascii="仿宋" w:hAnsi="仿宋" w:eastAsia="仿宋"/>
          <w:sz w:val="22"/>
          <w:szCs w:val="22"/>
          <w:highlight w:val="none"/>
        </w:rPr>
      </w:pPr>
      <w:r>
        <w:rPr>
          <w:rFonts w:hint="eastAsia" w:ascii="仿宋" w:hAnsi="仿宋" w:eastAsia="仿宋"/>
          <w:sz w:val="22"/>
          <w:szCs w:val="22"/>
          <w:highlight w:val="none"/>
        </w:rPr>
        <w:t>具体供货不局限于上述产品。应包括上述产品相关配件，类似升级产品。</w:t>
      </w:r>
    </w:p>
    <w:p>
      <w:pPr>
        <w:pStyle w:val="17"/>
        <w:rPr>
          <w:rFonts w:ascii="仿宋" w:hAnsi="仿宋" w:eastAsia="仿宋"/>
          <w:sz w:val="22"/>
          <w:szCs w:val="22"/>
          <w:highlight w:val="none"/>
        </w:rPr>
      </w:pPr>
      <w:r>
        <w:rPr>
          <w:rFonts w:hint="eastAsia" w:ascii="仿宋" w:hAnsi="仿宋" w:eastAsia="仿宋"/>
          <w:sz w:val="22"/>
          <w:szCs w:val="22"/>
          <w:highlight w:val="none"/>
        </w:rPr>
        <w:t>备注：</w:t>
      </w:r>
    </w:p>
    <w:p>
      <w:pPr>
        <w:jc w:val="left"/>
        <w:rPr>
          <w:rFonts w:hint="eastAsia" w:ascii="仿宋" w:hAnsi="仿宋" w:eastAsia="仿宋"/>
          <w:sz w:val="22"/>
          <w:szCs w:val="22"/>
          <w:highlight w:val="none"/>
        </w:rPr>
      </w:pPr>
      <w:r>
        <w:rPr>
          <w:rFonts w:hint="eastAsia" w:ascii="仿宋" w:hAnsi="仿宋" w:eastAsia="仿宋"/>
          <w:sz w:val="22"/>
          <w:szCs w:val="22"/>
          <w:highlight w:val="none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jc w:val="left"/>
      </w:pPr>
      <w:r>
        <w:rPr>
          <w:rFonts w:hint="eastAsia" w:ascii="仿宋" w:hAnsi="仿宋" w:eastAsia="仿宋"/>
          <w:sz w:val="22"/>
          <w:szCs w:val="22"/>
          <w:highlight w:val="none"/>
        </w:rPr>
        <w:t>2.投标文件中提供的证明材料复印件应复印清晰、可辨认且不得遮盖、涂抹，否则视为无效。</w:t>
      </w:r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TYzNGNjYWY2NzM4OTIzODAzODE4YjFlYjA3NWMyMDkifQ=="/>
  </w:docVars>
  <w:rsids>
    <w:rsidRoot w:val="00090E29"/>
    <w:rsid w:val="00090E29"/>
    <w:rsid w:val="00096144"/>
    <w:rsid w:val="000C018A"/>
    <w:rsid w:val="0013644E"/>
    <w:rsid w:val="001855CA"/>
    <w:rsid w:val="003266DE"/>
    <w:rsid w:val="003F2197"/>
    <w:rsid w:val="0050209C"/>
    <w:rsid w:val="00546C4D"/>
    <w:rsid w:val="0056369E"/>
    <w:rsid w:val="006004F0"/>
    <w:rsid w:val="00611B0C"/>
    <w:rsid w:val="006B5136"/>
    <w:rsid w:val="006D1C5C"/>
    <w:rsid w:val="007A0757"/>
    <w:rsid w:val="007D28B6"/>
    <w:rsid w:val="008B14B2"/>
    <w:rsid w:val="008B7C97"/>
    <w:rsid w:val="008E1E8A"/>
    <w:rsid w:val="008E369A"/>
    <w:rsid w:val="00B93A79"/>
    <w:rsid w:val="00BA7EA8"/>
    <w:rsid w:val="00C80E50"/>
    <w:rsid w:val="00D16E51"/>
    <w:rsid w:val="00D4130D"/>
    <w:rsid w:val="00D65A7A"/>
    <w:rsid w:val="00DA55CC"/>
    <w:rsid w:val="00E16677"/>
    <w:rsid w:val="00EE78CF"/>
    <w:rsid w:val="00F151A4"/>
    <w:rsid w:val="00F25139"/>
    <w:rsid w:val="00F56925"/>
    <w:rsid w:val="03094699"/>
    <w:rsid w:val="04593E3B"/>
    <w:rsid w:val="04FC416D"/>
    <w:rsid w:val="06816373"/>
    <w:rsid w:val="06920F82"/>
    <w:rsid w:val="07AF4861"/>
    <w:rsid w:val="0876413A"/>
    <w:rsid w:val="08912845"/>
    <w:rsid w:val="089F22C8"/>
    <w:rsid w:val="0906460D"/>
    <w:rsid w:val="09981FC5"/>
    <w:rsid w:val="09E04429"/>
    <w:rsid w:val="0A3001E0"/>
    <w:rsid w:val="0BC04CF3"/>
    <w:rsid w:val="0CDB468D"/>
    <w:rsid w:val="0D3B1923"/>
    <w:rsid w:val="0DB95E90"/>
    <w:rsid w:val="0EA12E42"/>
    <w:rsid w:val="0F2134B8"/>
    <w:rsid w:val="0F853369"/>
    <w:rsid w:val="0FB1516E"/>
    <w:rsid w:val="11FC0675"/>
    <w:rsid w:val="146D2DFE"/>
    <w:rsid w:val="14EE61CB"/>
    <w:rsid w:val="167F68EE"/>
    <w:rsid w:val="169A6592"/>
    <w:rsid w:val="183F7C42"/>
    <w:rsid w:val="18D04F26"/>
    <w:rsid w:val="19F57C86"/>
    <w:rsid w:val="1B224D55"/>
    <w:rsid w:val="1B3B1EBB"/>
    <w:rsid w:val="1BCA56F4"/>
    <w:rsid w:val="1BD229BC"/>
    <w:rsid w:val="1C510C82"/>
    <w:rsid w:val="1D514BA0"/>
    <w:rsid w:val="1EF10925"/>
    <w:rsid w:val="1F3D1E63"/>
    <w:rsid w:val="20142DFA"/>
    <w:rsid w:val="203577BE"/>
    <w:rsid w:val="20373F93"/>
    <w:rsid w:val="22D20AD3"/>
    <w:rsid w:val="26C9733C"/>
    <w:rsid w:val="26D04D02"/>
    <w:rsid w:val="274A6465"/>
    <w:rsid w:val="27BF14E5"/>
    <w:rsid w:val="27E6353A"/>
    <w:rsid w:val="283F1CD8"/>
    <w:rsid w:val="2894561A"/>
    <w:rsid w:val="2910361F"/>
    <w:rsid w:val="29E71C19"/>
    <w:rsid w:val="2B7E4049"/>
    <w:rsid w:val="2C5C438C"/>
    <w:rsid w:val="2D1A547B"/>
    <w:rsid w:val="308B1E37"/>
    <w:rsid w:val="31BA0B13"/>
    <w:rsid w:val="32061D68"/>
    <w:rsid w:val="32580053"/>
    <w:rsid w:val="32F0076D"/>
    <w:rsid w:val="32F60393"/>
    <w:rsid w:val="344E7D48"/>
    <w:rsid w:val="358D5CBB"/>
    <w:rsid w:val="36A81F19"/>
    <w:rsid w:val="36CA60B6"/>
    <w:rsid w:val="3790383E"/>
    <w:rsid w:val="37AF7C77"/>
    <w:rsid w:val="38B81CA1"/>
    <w:rsid w:val="3A910FF4"/>
    <w:rsid w:val="3ABB128A"/>
    <w:rsid w:val="3B0E674D"/>
    <w:rsid w:val="3B1F79D9"/>
    <w:rsid w:val="3C4E257E"/>
    <w:rsid w:val="3CC36B3B"/>
    <w:rsid w:val="3CCF6B42"/>
    <w:rsid w:val="3D9E4B60"/>
    <w:rsid w:val="3FB31195"/>
    <w:rsid w:val="405979E4"/>
    <w:rsid w:val="416B26FA"/>
    <w:rsid w:val="439E6864"/>
    <w:rsid w:val="43E01DD0"/>
    <w:rsid w:val="446245CF"/>
    <w:rsid w:val="455B308D"/>
    <w:rsid w:val="464B5DCF"/>
    <w:rsid w:val="470E0D4D"/>
    <w:rsid w:val="476A5954"/>
    <w:rsid w:val="494C2758"/>
    <w:rsid w:val="49721EC3"/>
    <w:rsid w:val="49A858B7"/>
    <w:rsid w:val="4A87279D"/>
    <w:rsid w:val="4B567869"/>
    <w:rsid w:val="4BDB43AD"/>
    <w:rsid w:val="4C3B71AC"/>
    <w:rsid w:val="4D444125"/>
    <w:rsid w:val="4DD54703"/>
    <w:rsid w:val="4E0711EB"/>
    <w:rsid w:val="507846AA"/>
    <w:rsid w:val="51B0110A"/>
    <w:rsid w:val="52513C34"/>
    <w:rsid w:val="53511291"/>
    <w:rsid w:val="53791460"/>
    <w:rsid w:val="54216585"/>
    <w:rsid w:val="54E95C72"/>
    <w:rsid w:val="55656F9E"/>
    <w:rsid w:val="557F4DE1"/>
    <w:rsid w:val="55A579A1"/>
    <w:rsid w:val="55F54C7D"/>
    <w:rsid w:val="568B6C91"/>
    <w:rsid w:val="57857FF7"/>
    <w:rsid w:val="58765B48"/>
    <w:rsid w:val="5A3033EE"/>
    <w:rsid w:val="5A5F311F"/>
    <w:rsid w:val="5AC040F1"/>
    <w:rsid w:val="5C263591"/>
    <w:rsid w:val="5C3E77E9"/>
    <w:rsid w:val="5D7C32DD"/>
    <w:rsid w:val="5DA22CDF"/>
    <w:rsid w:val="5EC86D9B"/>
    <w:rsid w:val="5EDD6637"/>
    <w:rsid w:val="5F9C524B"/>
    <w:rsid w:val="5FF27BF4"/>
    <w:rsid w:val="60A05C01"/>
    <w:rsid w:val="62922A0B"/>
    <w:rsid w:val="632B03E5"/>
    <w:rsid w:val="633B3238"/>
    <w:rsid w:val="63400718"/>
    <w:rsid w:val="65870405"/>
    <w:rsid w:val="676906D7"/>
    <w:rsid w:val="692913FD"/>
    <w:rsid w:val="69481F1D"/>
    <w:rsid w:val="6B0033F1"/>
    <w:rsid w:val="6B6E095E"/>
    <w:rsid w:val="6CF1193D"/>
    <w:rsid w:val="6E02774C"/>
    <w:rsid w:val="6E1718FD"/>
    <w:rsid w:val="6F01698A"/>
    <w:rsid w:val="6F654A89"/>
    <w:rsid w:val="7014228B"/>
    <w:rsid w:val="702D53B9"/>
    <w:rsid w:val="703525D6"/>
    <w:rsid w:val="735E7233"/>
    <w:rsid w:val="74C5435C"/>
    <w:rsid w:val="75FF703D"/>
    <w:rsid w:val="768176EC"/>
    <w:rsid w:val="76861E4C"/>
    <w:rsid w:val="77F03460"/>
    <w:rsid w:val="78305C20"/>
    <w:rsid w:val="786E1F54"/>
    <w:rsid w:val="78E00C4B"/>
    <w:rsid w:val="79285B16"/>
    <w:rsid w:val="7A387BE2"/>
    <w:rsid w:val="7AF431F7"/>
    <w:rsid w:val="7B3A67BA"/>
    <w:rsid w:val="7C071D5E"/>
    <w:rsid w:val="7C1E0984"/>
    <w:rsid w:val="7D0A606C"/>
    <w:rsid w:val="7DF050B2"/>
    <w:rsid w:val="7EC421EB"/>
    <w:rsid w:val="7EE54684"/>
    <w:rsid w:val="7FF868B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1"/>
    <w:basedOn w:val="1"/>
    <w:next w:val="1"/>
    <w:link w:val="15"/>
    <w:qFormat/>
    <w:uiPriority w:val="0"/>
    <w:pPr>
      <w:jc w:val="center"/>
      <w:outlineLvl w:val="0"/>
    </w:pPr>
    <w:rPr>
      <w:b/>
      <w:kern w:val="44"/>
      <w:sz w:val="44"/>
    </w:rPr>
  </w:style>
  <w:style w:type="paragraph" w:styleId="2">
    <w:name w:val="heading 2"/>
    <w:basedOn w:val="1"/>
    <w:next w:val="1"/>
    <w:qFormat/>
    <w:uiPriority w:val="0"/>
    <w:pPr>
      <w:keepNext/>
      <w:keepLines/>
      <w:topLinePunct/>
      <w:adjustRightInd w:val="0"/>
      <w:snapToGrid w:val="0"/>
      <w:spacing w:beforeLines="80" w:afterLines="80"/>
      <w:outlineLvl w:val="1"/>
    </w:pPr>
    <w:rPr>
      <w:rFonts w:ascii="Arial" w:hAnsi="Arial" w:eastAsia="黑体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semiHidden/>
    <w:qFormat/>
    <w:uiPriority w:val="0"/>
    <w:pPr>
      <w:spacing w:after="120"/>
    </w:pPr>
  </w:style>
  <w:style w:type="paragraph" w:styleId="5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qFormat/>
    <w:uiPriority w:val="22"/>
    <w:rPr>
      <w:b/>
      <w:bCs/>
    </w:rPr>
  </w:style>
  <w:style w:type="character" w:styleId="12">
    <w:name w:val="Hyperlink"/>
    <w:qFormat/>
    <w:uiPriority w:val="99"/>
    <w:rPr>
      <w:color w:val="0000FF"/>
      <w:u w:val="single"/>
    </w:rPr>
  </w:style>
  <w:style w:type="character" w:customStyle="1" w:styleId="13">
    <w:name w:val="页眉 Char"/>
    <w:basedOn w:val="10"/>
    <w:link w:val="7"/>
    <w:qFormat/>
    <w:uiPriority w:val="99"/>
    <w:rPr>
      <w:sz w:val="18"/>
      <w:szCs w:val="18"/>
    </w:rPr>
  </w:style>
  <w:style w:type="character" w:customStyle="1" w:styleId="14">
    <w:name w:val="页脚 Char"/>
    <w:basedOn w:val="10"/>
    <w:link w:val="6"/>
    <w:qFormat/>
    <w:uiPriority w:val="99"/>
    <w:rPr>
      <w:sz w:val="18"/>
      <w:szCs w:val="18"/>
    </w:rPr>
  </w:style>
  <w:style w:type="character" w:customStyle="1" w:styleId="15">
    <w:name w:val="标题 1 Char"/>
    <w:basedOn w:val="10"/>
    <w:link w:val="3"/>
    <w:qFormat/>
    <w:uiPriority w:val="0"/>
    <w:rPr>
      <w:rFonts w:ascii="Times New Roman" w:hAnsi="Times New Roman" w:eastAsia="宋体" w:cs="Times New Roman"/>
      <w:b/>
      <w:kern w:val="44"/>
      <w:sz w:val="44"/>
      <w:szCs w:val="20"/>
    </w:rPr>
  </w:style>
  <w:style w:type="paragraph" w:customStyle="1" w:styleId="16">
    <w:name w:val="本文正文"/>
    <w:basedOn w:val="1"/>
    <w:qFormat/>
    <w:uiPriority w:val="0"/>
    <w:pPr>
      <w:tabs>
        <w:tab w:val="left" w:pos="630"/>
      </w:tabs>
      <w:topLinePunct/>
      <w:adjustRightInd w:val="0"/>
      <w:spacing w:line="360" w:lineRule="exact"/>
    </w:pPr>
    <w:rPr>
      <w:color w:val="000000"/>
    </w:rPr>
  </w:style>
  <w:style w:type="paragraph" w:customStyle="1" w:styleId="17">
    <w:name w:val="Normal_1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customStyle="1" w:styleId="18">
    <w:name w:val="批注框文本 Char"/>
    <w:basedOn w:val="10"/>
    <w:link w:val="5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3862</Words>
  <Characters>4421</Characters>
  <Lines>28</Lines>
  <Paragraphs>8</Paragraphs>
  <TotalTime>6</TotalTime>
  <ScaleCrop>false</ScaleCrop>
  <LinksUpToDate>false</LinksUpToDate>
  <CharactersWithSpaces>4436</CharactersWithSpaces>
  <Application>WPS Office_11.1.0.11435_F1E327BC-269C-435d-A152-05C5408002CA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2021-02-01T07:32:00Z</dcterms:created>
  <dc:creator>CX2020111</dc:creator>
  <cp:lastModifiedBy>北辰</cp:lastModifiedBy>
  <dcterms:modified xsi:type="dcterms:W3CDTF">2023-03-28T03:16:25Z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2052-11.1.0.11435</vt:lpwstr>
  </property>
  <property fmtid="{D5CDD505-2E9C-101B-9397-08002B2CF9AE}" pid="3" name="ICV">
    <vt:lpwstr>B9D790BC200E42E1852D85AC6EAAB8FA</vt:lpwstr>
  </property>
</Properties>
</file>