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bookmarkStart w:id="2" w:name="_GoBack"/>
      <w:r>
        <w:rPr>
          <w:rFonts w:hint="eastAsia" w:ascii="仿宋" w:hAnsi="仿宋" w:eastAsia="仿宋" w:cs="仿宋"/>
          <w:b/>
          <w:color w:val="auto"/>
          <w:sz w:val="24"/>
          <w:szCs w:val="24"/>
        </w:rPr>
        <w:t>山东中实易通集团有限公司202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月第</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次服务公开招标采购公告</w:t>
      </w:r>
      <w:bookmarkEnd w:id="2"/>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lang w:eastAsia="zh-CN"/>
        </w:rPr>
        <w:t>ZSYT230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01FWGKZB</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w:t>
      </w:r>
      <w:r>
        <w:rPr>
          <w:rFonts w:hint="eastAsia" w:ascii="仿宋" w:hAnsi="仿宋" w:eastAsia="仿宋" w:cs="仿宋"/>
          <w:color w:val="auto"/>
          <w:sz w:val="24"/>
          <w:szCs w:val="24"/>
          <w:lang w:eastAsia="zh-CN"/>
        </w:rPr>
        <w:t>、山东电力工业锅炉压力容器检验中心有限公司</w:t>
      </w:r>
      <w:r>
        <w:rPr>
          <w:rFonts w:hint="eastAsia" w:ascii="仿宋" w:hAnsi="仿宋" w:eastAsia="仿宋" w:cs="仿宋"/>
          <w:color w:val="auto"/>
          <w:sz w:val="24"/>
          <w:szCs w:val="24"/>
        </w:rPr>
        <w:t>委托山东三誉招标代理有限公司（以下简称“招标代理机构”）就山东中实易通集团有限公司202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月第</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次服务公开招标采购项目进行公开招标，本批招标项目资金已落实。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5"/>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687"/>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980" w:type="dxa"/>
            <w:vAlign w:val="center"/>
          </w:tcPr>
          <w:p>
            <w:pPr>
              <w:pStyle w:val="12"/>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  号</w:t>
            </w:r>
          </w:p>
        </w:tc>
        <w:tc>
          <w:tcPr>
            <w:tcW w:w="4687" w:type="dxa"/>
            <w:vAlign w:val="center"/>
          </w:tcPr>
          <w:p>
            <w:pPr>
              <w:pStyle w:val="12"/>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名  称</w:t>
            </w:r>
          </w:p>
        </w:tc>
        <w:tc>
          <w:tcPr>
            <w:tcW w:w="2558" w:type="dxa"/>
            <w:vAlign w:val="center"/>
          </w:tcPr>
          <w:p>
            <w:pPr>
              <w:pStyle w:val="12"/>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辅助技术支持劳务服务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后勤劳务服务项目</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配网物资辅助检测劳务服务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受限空间作业状态多维度传感器件开发</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企业文化提升综合服务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检测车间玻璃隔断安装</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德州等地区新能源并网测试辅助服务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新能源场站及独立储能电站仿真建模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德州等地区充电设施检测辅助服务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济宁等地区充电设施检测辅助服务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电能质量评估项目辅助服务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智能配电网终端运输框架服务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青岛地区变电站噪声和电磁测试辅助</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潍坊地区变电站噪声和电磁测试辅助</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4687"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二次安防现场测试技术服务项目</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检测设备运输平台租赁服务项目</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储能电池检测服务项目</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陕西等地区设备监造技术辅助服务项目</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东北地区设备监造技术辅助服务项目</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新疆等地区设备监造技术辅助服务项目</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四川等地区设备监造技术辅助服务项目</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防鸟罩代工服务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信息发布及监控设备安装调试服务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监造辅助工具系统</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新能源及储能试验检测研究技术服务</w:t>
            </w:r>
          </w:p>
        </w:tc>
        <w:tc>
          <w:tcPr>
            <w:tcW w:w="2558"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电网设备非金属检测劳务</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YTZBFW2023-1050-GJ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检测用脚手架搭设项目</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YTZBFW2023-1051-GJ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锅检公司疲劳实验室改造</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YTZBFW2023-1052-GJ</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w:t>
      </w:r>
      <w:r>
        <w:rPr>
          <w:rFonts w:hint="eastAsia" w:ascii="仿宋" w:hAnsi="仿宋" w:eastAsia="仿宋" w:cs="仿宋"/>
          <w:color w:val="auto"/>
          <w:sz w:val="24"/>
          <w:szCs w:val="24"/>
          <w:highlight w:val="none"/>
        </w:rPr>
        <w:t>于</w:t>
      </w:r>
      <w:r>
        <w:rPr>
          <w:rFonts w:hint="eastAsia" w:ascii="仿宋" w:hAnsi="仿宋" w:eastAsia="仿宋" w:cs="仿宋"/>
          <w:b/>
          <w:bCs/>
          <w:color w:val="auto"/>
          <w:sz w:val="24"/>
          <w:szCs w:val="24"/>
          <w:highlight w:val="none"/>
        </w:rPr>
        <w:t>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03</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31</w:t>
      </w:r>
      <w:r>
        <w:rPr>
          <w:rFonts w:hint="eastAsia" w:ascii="仿宋" w:hAnsi="仿宋" w:eastAsia="仿宋" w:cs="仿宋"/>
          <w:b/>
          <w:bCs/>
          <w:color w:val="auto"/>
          <w:sz w:val="24"/>
          <w:szCs w:val="24"/>
          <w:highlight w:val="none"/>
        </w:rPr>
        <w:t>日08:30时至202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04</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07</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rPr>
        <w:t>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highlight w:val="none"/>
          <w:lang w:val="en-US" w:eastAsia="zh-CN"/>
        </w:rPr>
        <w:t>3年04</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21</w:t>
      </w:r>
      <w:r>
        <w:rPr>
          <w:rFonts w:hint="eastAsia" w:ascii="仿宋" w:hAnsi="仿宋" w:eastAsia="仿宋" w:cs="仿宋"/>
          <w:b/>
          <w:color w:val="auto"/>
          <w:sz w:val="24"/>
          <w:szCs w:val="24"/>
          <w:highlight w:val="none"/>
        </w:rPr>
        <w:t>日9:00时，</w:t>
      </w:r>
      <w:r>
        <w:rPr>
          <w:rFonts w:hint="eastAsia" w:ascii="仿宋" w:hAnsi="仿宋" w:eastAsia="仿宋" w:cs="仿宋"/>
          <w:b/>
          <w:color w:val="auto"/>
          <w:sz w:val="24"/>
          <w:szCs w:val="24"/>
        </w:rPr>
        <w:t>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疫情原因，为避免人员聚集，本项目不接受开标现场投标（应答）文件递交。</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投标（应答）文件邮寄接收地址、时间及联系方式：</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eastAsia="zh-CN"/>
        </w:rPr>
        <w:t>王颖</w:t>
      </w:r>
      <w:r>
        <w:rPr>
          <w:rFonts w:hint="eastAsia" w:ascii="仿宋" w:hAnsi="仿宋" w:eastAsia="仿宋" w:cs="仿宋"/>
          <w:color w:val="auto"/>
          <w:sz w:val="24"/>
          <w:szCs w:val="24"/>
        </w:rPr>
        <w:t>，联系电话：15562423673。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04</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日12</w:t>
      </w:r>
      <w:r>
        <w:rPr>
          <w:rFonts w:hint="eastAsia" w:ascii="仿宋" w:hAnsi="仿宋" w:eastAsia="仿宋" w:cs="仿宋"/>
          <w:b/>
          <w:bCs/>
          <w:color w:val="auto"/>
          <w:sz w:val="24"/>
          <w:szCs w:val="24"/>
        </w:rPr>
        <w:t>:00时之前采用邮寄方式递交到下述收件地址（</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5.2“投标人主动放弃投标情况的说明”（如有）请于投标截止日之前发送到邮箱syzbgs@vip.163.com。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5.3开标时间：202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04</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21</w:t>
      </w:r>
      <w:r>
        <w:rPr>
          <w:rFonts w:hint="eastAsia" w:ascii="仿宋" w:hAnsi="仿宋" w:eastAsia="仿宋" w:cs="仿宋"/>
          <w:b/>
          <w:bCs/>
          <w:color w:val="auto"/>
          <w:sz w:val="24"/>
          <w:szCs w:val="24"/>
          <w:highlight w:val="none"/>
        </w:rPr>
        <w:t>日</w:t>
      </w:r>
      <w:r>
        <w:rPr>
          <w:rFonts w:hint="eastAsia" w:ascii="仿宋" w:hAnsi="仿宋" w:eastAsia="仿宋" w:cs="仿宋"/>
          <w:b/>
          <w:color w:val="auto"/>
          <w:sz w:val="24"/>
          <w:szCs w:val="24"/>
          <w:highlight w:val="none"/>
        </w:rPr>
        <w:t>9:00</w:t>
      </w:r>
      <w:r>
        <w:rPr>
          <w:rFonts w:hint="eastAsia" w:ascii="仿宋" w:hAnsi="仿宋" w:eastAsia="仿宋" w:cs="仿宋"/>
          <w:b/>
          <w:color w:val="auto"/>
          <w:sz w:val="24"/>
          <w:szCs w:val="24"/>
        </w:rPr>
        <w:t>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（5）“腾讯会议”会议号：</w:t>
      </w:r>
      <w:r>
        <w:rPr>
          <w:rFonts w:hint="eastAsia" w:ascii="仿宋" w:hAnsi="仿宋" w:eastAsia="仿宋" w:cs="仿宋"/>
          <w:color w:val="auto"/>
          <w:sz w:val="24"/>
          <w:szCs w:val="24"/>
          <w:lang w:val="en-US" w:eastAsia="zh-CN"/>
        </w:rPr>
        <w:t>441 759 037</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4"/>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w:t>
      </w:r>
      <w:r>
        <w:rPr>
          <w:rFonts w:hint="eastAsia" w:ascii="仿宋" w:hAnsi="仿宋" w:eastAsia="仿宋" w:cs="仿宋"/>
          <w:b w:val="0"/>
          <w:bCs/>
          <w:color w:val="auto"/>
          <w:szCs w:val="24"/>
          <w:highlight w:val="none"/>
          <w:lang w:val="en-US"/>
        </w:rPr>
        <w:t>间：202</w:t>
      </w:r>
      <w:r>
        <w:rPr>
          <w:rFonts w:hint="eastAsia" w:ascii="仿宋" w:hAnsi="仿宋" w:eastAsia="仿宋" w:cs="仿宋"/>
          <w:b w:val="0"/>
          <w:bCs/>
          <w:color w:val="auto"/>
          <w:szCs w:val="24"/>
          <w:highlight w:val="none"/>
          <w:lang w:val="en-US" w:eastAsia="zh-CN"/>
        </w:rPr>
        <w:t>3</w:t>
      </w:r>
      <w:r>
        <w:rPr>
          <w:rFonts w:hint="eastAsia" w:ascii="仿宋" w:hAnsi="仿宋" w:eastAsia="仿宋" w:cs="仿宋"/>
          <w:b w:val="0"/>
          <w:bCs/>
          <w:color w:val="auto"/>
          <w:szCs w:val="24"/>
          <w:highlight w:val="none"/>
          <w:lang w:val="en-US"/>
        </w:rPr>
        <w:t>年</w:t>
      </w:r>
      <w:r>
        <w:rPr>
          <w:rFonts w:hint="eastAsia" w:ascii="仿宋" w:hAnsi="仿宋" w:eastAsia="仿宋" w:cs="仿宋"/>
          <w:b w:val="0"/>
          <w:bCs/>
          <w:color w:val="auto"/>
          <w:szCs w:val="24"/>
          <w:highlight w:val="none"/>
          <w:lang w:val="en-US" w:eastAsia="zh-CN"/>
        </w:rPr>
        <w:t>04</w:t>
      </w:r>
      <w:r>
        <w:rPr>
          <w:rFonts w:hint="eastAsia" w:ascii="仿宋" w:hAnsi="仿宋" w:eastAsia="仿宋" w:cs="仿宋"/>
          <w:b w:val="0"/>
          <w:bCs/>
          <w:color w:val="auto"/>
          <w:szCs w:val="24"/>
          <w:highlight w:val="none"/>
          <w:lang w:val="en-US"/>
        </w:rPr>
        <w:t>月</w:t>
      </w:r>
      <w:r>
        <w:rPr>
          <w:rFonts w:hint="eastAsia" w:ascii="仿宋" w:hAnsi="仿宋" w:eastAsia="仿宋" w:cs="仿宋"/>
          <w:b w:val="0"/>
          <w:bCs/>
          <w:color w:val="auto"/>
          <w:szCs w:val="24"/>
          <w:highlight w:val="none"/>
          <w:lang w:val="en-US" w:eastAsia="zh-CN"/>
        </w:rPr>
        <w:t>14</w:t>
      </w:r>
      <w:r>
        <w:rPr>
          <w:rFonts w:hint="eastAsia" w:ascii="仿宋" w:hAnsi="仿宋" w:eastAsia="仿宋" w:cs="仿宋"/>
          <w:b w:val="0"/>
          <w:bCs/>
          <w:color w:val="auto"/>
          <w:szCs w:val="24"/>
          <w:highlight w:val="none"/>
          <w:lang w:val="en-US"/>
        </w:rPr>
        <w:t>日17：</w:t>
      </w:r>
      <w:r>
        <w:rPr>
          <w:rFonts w:hint="eastAsia" w:ascii="仿宋" w:hAnsi="仿宋" w:eastAsia="仿宋" w:cs="仿宋"/>
          <w:b w:val="0"/>
          <w:bCs/>
          <w:color w:val="auto"/>
          <w:szCs w:val="24"/>
          <w:lang w:val="en-US"/>
        </w:rPr>
        <w:t>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购买标书联系人：李月、</w:t>
      </w:r>
      <w:r>
        <w:rPr>
          <w:rFonts w:hint="eastAsia" w:ascii="仿宋" w:hAnsi="仿宋" w:eastAsia="仿宋" w:cs="仿宋"/>
          <w:color w:val="auto"/>
          <w:sz w:val="24"/>
          <w:szCs w:val="24"/>
          <w:lang w:eastAsia="zh-CN"/>
        </w:rPr>
        <w:t>王颖</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03</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937"/>
        <w:gridCol w:w="2190"/>
        <w:gridCol w:w="1264"/>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21"/>
                <w:szCs w:val="21"/>
              </w:rPr>
            </w:pPr>
            <w:r>
              <w:rPr>
                <w:rFonts w:hint="eastAsia" w:ascii="仿宋" w:hAnsi="仿宋" w:eastAsia="仿宋" w:cs="仿宋"/>
                <w:b/>
                <w:color w:val="auto"/>
                <w:kern w:val="0"/>
                <w:sz w:val="21"/>
                <w:szCs w:val="21"/>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21"/>
                <w:szCs w:val="21"/>
              </w:rPr>
            </w:pPr>
            <w:r>
              <w:rPr>
                <w:rFonts w:hint="eastAsia" w:ascii="仿宋" w:hAnsi="仿宋" w:eastAsia="仿宋" w:cs="仿宋"/>
                <w:b/>
                <w:color w:val="auto"/>
                <w:kern w:val="0"/>
                <w:sz w:val="21"/>
                <w:szCs w:val="21"/>
              </w:rPr>
              <w:t>分标名称</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21"/>
                <w:szCs w:val="21"/>
              </w:rPr>
            </w:pPr>
            <w:r>
              <w:rPr>
                <w:rFonts w:hint="eastAsia" w:ascii="仿宋" w:hAnsi="仿宋" w:eastAsia="仿宋" w:cs="仿宋"/>
                <w:b/>
                <w:color w:val="auto"/>
                <w:kern w:val="0"/>
                <w:sz w:val="21"/>
                <w:szCs w:val="21"/>
              </w:rPr>
              <w:t>包名称</w:t>
            </w:r>
          </w:p>
        </w:tc>
        <w:tc>
          <w:tcPr>
            <w:tcW w:w="219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21"/>
                <w:szCs w:val="21"/>
              </w:rPr>
            </w:pPr>
            <w:r>
              <w:rPr>
                <w:rFonts w:hint="eastAsia" w:ascii="仿宋" w:hAnsi="仿宋" w:eastAsia="仿宋" w:cs="仿宋"/>
                <w:b/>
                <w:color w:val="auto"/>
                <w:kern w:val="0"/>
                <w:sz w:val="21"/>
                <w:szCs w:val="21"/>
              </w:rPr>
              <w:t>项目描述</w:t>
            </w:r>
          </w:p>
        </w:tc>
        <w:tc>
          <w:tcPr>
            <w:tcW w:w="126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21"/>
                <w:szCs w:val="21"/>
              </w:rPr>
            </w:pPr>
            <w:r>
              <w:rPr>
                <w:rFonts w:hint="eastAsia" w:ascii="仿宋" w:hAnsi="仿宋" w:eastAsia="仿宋" w:cs="仿宋"/>
                <w:b/>
                <w:color w:val="auto"/>
                <w:kern w:val="0"/>
                <w:sz w:val="21"/>
                <w:szCs w:val="21"/>
              </w:rPr>
              <w:t>服务期限</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最高限价（含税）</w:t>
            </w:r>
          </w:p>
          <w:p>
            <w:pPr>
              <w:widowControl/>
              <w:spacing w:line="0" w:lineRule="atLeast"/>
              <w:jc w:val="center"/>
              <w:textAlignment w:val="center"/>
              <w:rPr>
                <w:rFonts w:ascii="仿宋" w:hAnsi="仿宋" w:eastAsia="仿宋" w:cs="仿宋"/>
                <w:b/>
                <w:color w:val="auto"/>
                <w:sz w:val="21"/>
                <w:szCs w:val="21"/>
              </w:rPr>
            </w:pPr>
            <w:r>
              <w:rPr>
                <w:rFonts w:hint="eastAsia" w:ascii="仿宋" w:hAnsi="仿宋" w:eastAsia="仿宋" w:cs="仿宋"/>
                <w:b/>
                <w:color w:val="auto"/>
                <w:kern w:val="0"/>
                <w:sz w:val="21"/>
                <w:szCs w:val="21"/>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21"/>
                <w:szCs w:val="21"/>
              </w:rPr>
            </w:pPr>
            <w:r>
              <w:rPr>
                <w:rFonts w:hint="eastAsia" w:ascii="仿宋" w:hAnsi="仿宋" w:eastAsia="仿宋" w:cs="仿宋"/>
                <w:b/>
                <w:bCs/>
                <w:color w:val="auto"/>
                <w:sz w:val="21"/>
                <w:szCs w:val="21"/>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辅助技术支持劳务服务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YTZB20230301KJ辅助技术支持劳务服务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辅助技术支持劳务服务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壹年</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903</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highlight w:val="none"/>
                <w:lang w:val="en-US" w:eastAsia="zh-CN" w:bidi="ar-SA"/>
              </w:rPr>
              <w:t>80000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sz w:val="21"/>
                <w:szCs w:val="21"/>
                <w:lang w:val="en-US" w:eastAsia="zh-CN"/>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后勤劳务服务项目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YTZB20230302KJ后勤劳务服务项目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后勤劳务服务项目</w:t>
            </w:r>
          </w:p>
        </w:tc>
        <w:tc>
          <w:tcPr>
            <w:tcW w:w="1264"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壹年</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790</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70000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default" w:ascii="仿宋" w:hAnsi="仿宋" w:eastAsia="仿宋" w:cs="仿宋"/>
                <w:color w:val="auto"/>
                <w:kern w:val="2"/>
                <w:sz w:val="21"/>
                <w:szCs w:val="21"/>
                <w:highlight w:val="yellow"/>
                <w:lang w:val="en-US" w:eastAsia="zh-CN" w:bidi="ar-SA"/>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配网物资辅助检测劳务服务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YTZB20230303KJ配网物资辅助检测劳务服务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为我公司承揽的配网物资检测服务提供辅助检测人员，受托方人员应依据委托方检测方案、检测标准，在委托方技术人员的指导下提供检测服务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自合同签订之日起一年</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90</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16000</w:t>
            </w:r>
          </w:p>
        </w:tc>
        <w:tc>
          <w:tcPr>
            <w:tcW w:w="5480"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default" w:ascii="仿宋" w:hAnsi="仿宋" w:eastAsia="仿宋" w:cs="仿宋"/>
                <w:color w:val="auto"/>
                <w:kern w:val="2"/>
                <w:sz w:val="21"/>
                <w:szCs w:val="21"/>
                <w:highlight w:val="yellow"/>
                <w:lang w:val="en-US" w:eastAsia="zh-CN" w:bidi="ar-SA"/>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受限空间作业状态多维度传感器件开发</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YTZB20230304受限空间作业状态多维度传感器件开发</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受限空间作业状态多维度传感器件开发</w:t>
            </w:r>
          </w:p>
        </w:tc>
        <w:tc>
          <w:tcPr>
            <w:tcW w:w="1264"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合同签署之日起至2023年</w:t>
            </w:r>
            <w:r>
              <w:rPr>
                <w:rFonts w:hint="eastAsia" w:ascii="仿宋" w:hAnsi="仿宋" w:eastAsia="仿宋" w:cs="仿宋"/>
                <w:color w:val="auto"/>
                <w:sz w:val="21"/>
                <w:szCs w:val="21"/>
                <w:lang w:val="en-US" w:eastAsia="zh-CN"/>
              </w:rPr>
              <w:t>10</w:t>
            </w:r>
            <w:r>
              <w:rPr>
                <w:rFonts w:hint="default" w:ascii="仿宋" w:hAnsi="仿宋" w:eastAsia="仿宋" w:cs="仿宋"/>
                <w:color w:val="auto"/>
                <w:sz w:val="21"/>
                <w:szCs w:val="21"/>
                <w:lang w:val="en-US" w:eastAsia="zh-CN"/>
              </w:rPr>
              <w:t>月31日止</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32</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5700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jc w:val="left"/>
              <w:textAlignment w:val="center"/>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提供20</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年1月1日至招标公告发布前1日（以合同签订时间为准）</w:t>
            </w:r>
            <w:r>
              <w:rPr>
                <w:rFonts w:hint="eastAsia" w:ascii="仿宋" w:hAnsi="仿宋" w:eastAsia="仿宋" w:cs="仿宋"/>
                <w:color w:val="auto"/>
                <w:sz w:val="21"/>
                <w:szCs w:val="21"/>
                <w:highlight w:val="none"/>
                <w:lang w:eastAsia="zh-CN"/>
              </w:rPr>
              <w:t>，技术研发或服务业绩</w:t>
            </w:r>
            <w:r>
              <w:rPr>
                <w:rFonts w:hint="eastAsia" w:ascii="仿宋" w:hAnsi="仿宋" w:eastAsia="仿宋" w:cs="仿宋"/>
                <w:color w:val="auto"/>
                <w:sz w:val="21"/>
                <w:szCs w:val="21"/>
                <w:highlight w:val="none"/>
                <w:lang w:val="en-US" w:eastAsia="zh-CN"/>
              </w:rPr>
              <w:t>至少1份</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标5</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企业文化提升综合服务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YTZB20230305KJ企业文化提升综合服务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企业文化提升综合服务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自合同签订之日起一年</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42</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7500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jc w:val="left"/>
              <w:textAlignment w:val="center"/>
              <w:rPr>
                <w:rFonts w:hint="default" w:ascii="仿宋" w:hAnsi="仿宋" w:eastAsia="仿宋" w:cs="仿宋"/>
                <w:b/>
                <w:bCs/>
                <w:color w:val="auto"/>
                <w:sz w:val="21"/>
                <w:szCs w:val="21"/>
                <w:lang w:val="en-US" w:eastAsia="zh-CN"/>
              </w:rPr>
            </w:pPr>
            <w:r>
              <w:rPr>
                <w:rFonts w:hint="eastAsia" w:ascii="仿宋" w:hAnsi="仿宋" w:eastAsia="仿宋" w:cs="仿宋"/>
                <w:color w:val="auto"/>
                <w:sz w:val="21"/>
                <w:szCs w:val="21"/>
                <w:highlight w:val="none"/>
                <w:lang w:val="en-US" w:eastAsia="zh-CN"/>
              </w:rPr>
              <w:t>2.提供2020年1月1日至招标公告发布前1日（以合同签订时间为准），展览展示、宣传品制作业绩不少于3份，单项合同不低于10万元。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标6</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检测车间玻璃隔断安装</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YTZB20230306检测车间玻璃隔断安装</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检测车间玻璃隔断安装</w:t>
            </w:r>
          </w:p>
        </w:tc>
        <w:tc>
          <w:tcPr>
            <w:tcW w:w="1264"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自合同签订之日起30个自然日</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38</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6800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1.投标人须具有独立承担民事责任能力的法人单位；</w:t>
            </w:r>
          </w:p>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2.投标人须具有有效的安全生产许可证；</w:t>
            </w:r>
          </w:p>
          <w:p>
            <w:pPr>
              <w:widowControl/>
              <w:numPr>
                <w:ilvl w:val="0"/>
                <w:numId w:val="0"/>
              </w:numPr>
              <w:spacing w:line="360" w:lineRule="auto"/>
              <w:ind w:leftChars="0"/>
              <w:jc w:val="left"/>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3.提供2020年1月1日至招标公告发布前1日（以合同签订时间为准），工程施工业绩至少2份；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标7</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德州等地区新能源并网测试辅助服务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YTZB20230307KJ德州等地区新能源并网测试辅助服务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德州等地区新能源并网测试辅助服务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自合同签订之日起至完成合同规定服务内容止</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88</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2.投标人通过质量管理体系认证，认证证书在有效期内；</w:t>
            </w:r>
          </w:p>
          <w:p>
            <w:pPr>
              <w:widowControl/>
              <w:numPr>
                <w:ilvl w:val="0"/>
                <w:numId w:val="0"/>
              </w:numPr>
              <w:spacing w:line="360" w:lineRule="auto"/>
              <w:jc w:val="left"/>
              <w:textAlignment w:val="center"/>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提供20</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年1月1日至招标公告发布前1日（以合同签订时间为准）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类似服务业绩至少1份。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标8</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新能源场站及独立储能电站仿真建模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YTZB20230308KJ新能源场站及独立储能电站仿真建模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新能源场站及独立储能电站仿真建模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600</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highlight w:val="none"/>
                <w:lang w:val="en-US" w:eastAsia="zh-CN" w:bidi="ar-SA"/>
              </w:rPr>
              <w:t>60000</w:t>
            </w:r>
          </w:p>
        </w:tc>
        <w:tc>
          <w:tcPr>
            <w:tcW w:w="5480"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标9</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德州等地区充电设施检测辅助服务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YTZB20230309KJ德州等地区充电设施检测辅助服务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德州等地区电动汽车充电设施检验检测服务提供检验检测人员，受托方人员应依据委托方检验检测方案、检验检测标准，在委托方技术人员的指导下提供检验检测服务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63</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2.投标人通过质量管理体系认证、环境管理体系认证、职业健康管理体系认证，认证证书在有效期内；</w:t>
            </w:r>
          </w:p>
          <w:p>
            <w:pPr>
              <w:widowControl/>
              <w:numPr>
                <w:ilvl w:val="0"/>
                <w:numId w:val="0"/>
              </w:numPr>
              <w:spacing w:line="360" w:lineRule="auto"/>
              <w:jc w:val="left"/>
              <w:textAlignment w:val="center"/>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highlight w:val="none"/>
                <w:lang w:val="en-US" w:eastAsia="zh-CN"/>
              </w:rPr>
              <w:t>3.投标人须具备电力监管机构核发的《承装（修、试）电力设施许可证》,许可范围包含五级及以上承试资质。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标10</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济宁等地区充电设施检测辅助服务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YTZB20230310KJ济宁等地区充电设施检测辅助服务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济宁等地区电动汽车充电设施检验检测服务提供检验检测人员，受托方人员应依据委托方检验检测方案、检验检测标准，在委托方技术人员的指导下提供检验检测服务。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自合同签订之日起至项目结束</w:t>
            </w:r>
          </w:p>
        </w:tc>
        <w:tc>
          <w:tcPr>
            <w:tcW w:w="1280" w:type="dxa"/>
            <w:tcBorders>
              <w:tl2br w:val="nil"/>
              <w:tr2bl w:val="nil"/>
            </w:tcBorders>
            <w:shd w:val="clear" w:color="auto" w:fill="FFFFFF"/>
            <w:vAlign w:val="center"/>
          </w:tcPr>
          <w:p>
            <w:pPr>
              <w:widowControl/>
              <w:tabs>
                <w:tab w:val="left" w:pos="529"/>
              </w:tabs>
              <w:spacing w:line="0" w:lineRule="atLeast"/>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63</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2.投标人通过质量管理体系认证、环境管理体系认证、职业健康管理体系认证，认证证书在有效期内；</w:t>
            </w:r>
          </w:p>
          <w:p>
            <w:pPr>
              <w:widowControl/>
              <w:numPr>
                <w:ilvl w:val="0"/>
                <w:numId w:val="0"/>
              </w:numPr>
              <w:spacing w:line="360" w:lineRule="auto"/>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3.投标人须具备电力监管机构核发的《承装（修、试）电力设施许可证》,许可范围包含五级及以上承试资质。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电能质量评估项目辅助服务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YTZB20230311KJ电能质量评估项目辅助服务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电能质量评估项目辅助服务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highlight w:val="none"/>
                <w:lang w:val="en-US" w:eastAsia="zh-CN" w:bidi="ar-SA"/>
              </w:rPr>
              <w:t>自项目开始起至项目结束</w:t>
            </w:r>
          </w:p>
        </w:tc>
        <w:tc>
          <w:tcPr>
            <w:tcW w:w="1280" w:type="dxa"/>
            <w:tcBorders>
              <w:tl2br w:val="nil"/>
              <w:tr2bl w:val="nil"/>
            </w:tcBorders>
            <w:shd w:val="clear" w:color="auto" w:fill="FFFFFF"/>
            <w:vAlign w:val="center"/>
          </w:tcPr>
          <w:p>
            <w:pPr>
              <w:widowControl/>
              <w:tabs>
                <w:tab w:val="left" w:pos="529"/>
              </w:tabs>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45</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智能配电网终端运输框架服务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YTZB20230312KJ智能配电网终端运输框架服务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智能配电网终端运输框架服务</w:t>
            </w:r>
          </w:p>
        </w:tc>
        <w:tc>
          <w:tcPr>
            <w:tcW w:w="1264"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壹年</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120</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21000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2.投标人须具备国家核准颁发并至今有效的《道路运输经营许可证》。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青岛地区变电站噪声和电磁测试辅助</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YTZB20230313KJ青岛地区变电站噪声和电磁测试辅助</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受托方人员应依据委托方工作方案、检测标准，在委托方技术人员的指导下提供变电站噪声、电磁辐射检测、检测数据的整理汇总等服务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自合同签订之日起一年内</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40</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7200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潍坊地区变电站噪声和电磁测试辅助</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YTZB20230314KJ潍坊地区变电站噪声和电磁测试辅助</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受托方人员应依据委托方工作方案、检测标准，在委托方技术人员的指导下提供变电站噪声、电磁辐射检测、检测数据的整理汇总等服务。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自合同签订之日起一年内</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72</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标15</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二次安防现场测试技术服务项目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YTZB20230315二次安防现场测试技术服务项目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二次安防现场测试技术服务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lang w:val="en-US" w:eastAsia="zh-CN" w:bidi="ar-SA"/>
              </w:rPr>
              <w:t>2100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提供20</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年1月1日至招标公告发布前1日（以合同签订时间为准）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类似服务业绩至少1份。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标16</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检测设备运输平台租赁服务项目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YTZB20230316检测设备运输平台租赁服务项目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检测设备运输平台租赁服务项目</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自合同签订之日起三年</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75</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jc w:val="left"/>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2.标人须具备国家核准颁发并至今有效的《道路运输经营许可证》；</w:t>
            </w:r>
          </w:p>
          <w:p>
            <w:pPr>
              <w:widowControl/>
              <w:numPr>
                <w:ilvl w:val="0"/>
                <w:numId w:val="0"/>
              </w:numPr>
              <w:spacing w:line="360" w:lineRule="auto"/>
              <w:jc w:val="left"/>
              <w:textAlignment w:val="center"/>
              <w:rPr>
                <w:rFonts w:hint="default" w:eastAsia="仿宋"/>
                <w:sz w:val="21"/>
                <w:szCs w:val="21"/>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提供20</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年1月1日至招标公告发布前1日（以合同签订时间为准）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大件</w:t>
            </w:r>
            <w:r>
              <w:rPr>
                <w:rFonts w:hint="eastAsia" w:ascii="仿宋" w:hAnsi="仿宋" w:eastAsia="仿宋" w:cs="仿宋"/>
                <w:color w:val="auto"/>
                <w:sz w:val="21"/>
                <w:szCs w:val="21"/>
                <w:highlight w:val="none"/>
                <w:lang w:eastAsia="zh-CN"/>
              </w:rPr>
              <w:t>运输业绩</w:t>
            </w:r>
            <w:r>
              <w:rPr>
                <w:rFonts w:hint="eastAsia" w:ascii="仿宋" w:hAnsi="仿宋" w:eastAsia="仿宋" w:cs="仿宋"/>
                <w:color w:val="auto"/>
                <w:sz w:val="21"/>
                <w:szCs w:val="21"/>
                <w:highlight w:val="none"/>
                <w:lang w:val="en-US" w:eastAsia="zh-CN"/>
              </w:rPr>
              <w:t>至少3份。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标17</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储能电池检测服务项目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YTZB20230317储能电池检测服务项目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储能电池检测服务项目</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52</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9300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jc w:val="left"/>
              <w:textAlignment w:val="center"/>
              <w:rPr>
                <w:rFonts w:hint="default" w:eastAsia="仿宋"/>
                <w:color w:val="auto"/>
                <w:sz w:val="21"/>
                <w:szCs w:val="21"/>
                <w:lang w:val="en-US" w:eastAsia="zh-CN"/>
              </w:rPr>
            </w:pPr>
            <w:r>
              <w:rPr>
                <w:rFonts w:hint="eastAsia" w:ascii="仿宋" w:hAnsi="仿宋" w:eastAsia="仿宋" w:cs="仿宋"/>
                <w:color w:val="auto"/>
                <w:sz w:val="21"/>
                <w:szCs w:val="21"/>
                <w:highlight w:val="none"/>
                <w:lang w:val="en-US" w:eastAsia="zh-CN"/>
              </w:rPr>
              <w:t>2.具有CMA或CNAS检测资质。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标18</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陕西等地区设备监造技术辅助服务项目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YTZB20230318KJ陕西等地区设备监造技术辅助服务项目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协助招标方完成设备生产制造过程驻厂监造工作</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98</w:t>
            </w:r>
          </w:p>
        </w:tc>
        <w:tc>
          <w:tcPr>
            <w:tcW w:w="1041" w:type="dxa"/>
            <w:tcBorders>
              <w:tl2br w:val="nil"/>
              <w:tr2bl w:val="nil"/>
            </w:tcBorders>
            <w:shd w:val="clear" w:color="auto" w:fill="FFFFFF"/>
            <w:vAlign w:val="center"/>
          </w:tcPr>
          <w:p>
            <w:pPr>
              <w:widowControl/>
              <w:numPr>
                <w:ilvl w:val="0"/>
                <w:numId w:val="0"/>
              </w:numPr>
              <w:spacing w:line="360" w:lineRule="auto"/>
              <w:ind w:left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1.投标人须具有独立承担民事责任能力的法人单位；</w:t>
            </w:r>
          </w:p>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2.具备甲级设备监理资质；</w:t>
            </w:r>
          </w:p>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3.提供2020年1月1日至招标公告发布前1日（以合同签订时间为准），设备监造相关业绩至少1份。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标19</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东北地区设备监造技术辅助服务项目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YTZB20230319KJ东北地区设备监造技术辅助服务项目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协助招标方完成设备生产制造过程驻厂监造工作</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1.投标人须具有独立承担民事责任能力的法人单位</w:t>
            </w:r>
            <w:r>
              <w:rPr>
                <w:rFonts w:hint="eastAsia" w:ascii="仿宋" w:hAnsi="仿宋" w:eastAsia="仿宋" w:cs="仿宋"/>
                <w:color w:val="auto"/>
                <w:sz w:val="21"/>
                <w:szCs w:val="21"/>
                <w:highlight w:val="none"/>
                <w:lang w:eastAsia="zh-CN"/>
              </w:rPr>
              <w:t>；</w:t>
            </w:r>
          </w:p>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具备</w:t>
            </w:r>
            <w:r>
              <w:rPr>
                <w:rFonts w:hint="eastAsia" w:ascii="仿宋" w:hAnsi="仿宋" w:eastAsia="仿宋" w:cs="仿宋"/>
                <w:color w:val="auto"/>
                <w:sz w:val="21"/>
                <w:szCs w:val="21"/>
                <w:highlight w:val="none"/>
                <w:lang w:val="en-US" w:eastAsia="zh-CN"/>
              </w:rPr>
              <w:t>甲</w:t>
            </w:r>
            <w:r>
              <w:rPr>
                <w:rFonts w:hint="eastAsia" w:ascii="仿宋" w:hAnsi="仿宋" w:eastAsia="仿宋" w:cs="仿宋"/>
                <w:color w:val="auto"/>
                <w:sz w:val="21"/>
                <w:szCs w:val="21"/>
                <w:highlight w:val="none"/>
              </w:rPr>
              <w:t>级设备监理资质</w:t>
            </w:r>
            <w:r>
              <w:rPr>
                <w:rFonts w:hint="eastAsia" w:ascii="仿宋" w:hAnsi="仿宋" w:eastAsia="仿宋" w:cs="仿宋"/>
                <w:color w:val="auto"/>
                <w:sz w:val="21"/>
                <w:szCs w:val="21"/>
                <w:highlight w:val="none"/>
                <w:lang w:eastAsia="zh-CN"/>
              </w:rPr>
              <w:t>；</w:t>
            </w:r>
          </w:p>
          <w:p>
            <w:pPr>
              <w:widowControl/>
              <w:numPr>
                <w:ilvl w:val="0"/>
                <w:numId w:val="0"/>
              </w:numPr>
              <w:spacing w:line="360" w:lineRule="auto"/>
              <w:ind w:leftChars="0"/>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提供2020年1月1日至招标公告发布前1日（以合同签订时间为准），</w:t>
            </w:r>
            <w:r>
              <w:rPr>
                <w:rFonts w:hint="eastAsia" w:ascii="仿宋" w:hAnsi="仿宋" w:eastAsia="仿宋" w:cs="仿宋"/>
                <w:color w:val="auto"/>
                <w:sz w:val="21"/>
                <w:szCs w:val="21"/>
                <w:highlight w:val="none"/>
                <w:lang w:val="en-US" w:eastAsia="zh-CN"/>
              </w:rPr>
              <w:t>设备监造相关</w:t>
            </w:r>
            <w:r>
              <w:rPr>
                <w:rFonts w:hint="default" w:ascii="仿宋" w:hAnsi="仿宋" w:eastAsia="仿宋" w:cs="仿宋"/>
                <w:color w:val="auto"/>
                <w:sz w:val="21"/>
                <w:szCs w:val="21"/>
                <w:highlight w:val="none"/>
                <w:lang w:val="en-US" w:eastAsia="zh-CN"/>
              </w:rPr>
              <w:t>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标20</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新疆等地区设备监造技术辅助服务项目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YTZB20230320KJ新疆等地区设备监造技术辅助服务项目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协助招标方完成设备生产制造过程驻厂监造工作</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50</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1.投标人须具有独立承担民事责任能力的法人单位</w:t>
            </w:r>
            <w:r>
              <w:rPr>
                <w:rFonts w:hint="eastAsia" w:ascii="仿宋" w:hAnsi="仿宋" w:eastAsia="仿宋" w:cs="仿宋"/>
                <w:color w:val="auto"/>
                <w:sz w:val="21"/>
                <w:szCs w:val="21"/>
                <w:highlight w:val="none"/>
                <w:lang w:eastAsia="zh-CN"/>
              </w:rPr>
              <w:t>；</w:t>
            </w:r>
          </w:p>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具备</w:t>
            </w:r>
            <w:r>
              <w:rPr>
                <w:rFonts w:hint="eastAsia" w:ascii="仿宋" w:hAnsi="仿宋" w:eastAsia="仿宋" w:cs="仿宋"/>
                <w:color w:val="auto"/>
                <w:sz w:val="21"/>
                <w:szCs w:val="21"/>
                <w:highlight w:val="none"/>
                <w:lang w:val="en-US" w:eastAsia="zh-CN"/>
              </w:rPr>
              <w:t>甲</w:t>
            </w:r>
            <w:r>
              <w:rPr>
                <w:rFonts w:hint="eastAsia" w:ascii="仿宋" w:hAnsi="仿宋" w:eastAsia="仿宋" w:cs="仿宋"/>
                <w:color w:val="auto"/>
                <w:sz w:val="21"/>
                <w:szCs w:val="21"/>
                <w:highlight w:val="none"/>
              </w:rPr>
              <w:t>级设备监理资质</w:t>
            </w:r>
            <w:r>
              <w:rPr>
                <w:rFonts w:hint="eastAsia" w:ascii="仿宋" w:hAnsi="仿宋" w:eastAsia="仿宋" w:cs="仿宋"/>
                <w:color w:val="auto"/>
                <w:sz w:val="21"/>
                <w:szCs w:val="21"/>
                <w:highlight w:val="none"/>
                <w:lang w:eastAsia="zh-CN"/>
              </w:rPr>
              <w:t>；</w:t>
            </w:r>
          </w:p>
          <w:p>
            <w:pPr>
              <w:widowControl/>
              <w:numPr>
                <w:ilvl w:val="0"/>
                <w:numId w:val="0"/>
              </w:numPr>
              <w:spacing w:line="360" w:lineRule="auto"/>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提供2020年1月1日至招标公告发布前1日（以合同签订时间为准），</w:t>
            </w:r>
            <w:r>
              <w:rPr>
                <w:rFonts w:hint="eastAsia" w:ascii="仿宋" w:hAnsi="仿宋" w:eastAsia="仿宋" w:cs="仿宋"/>
                <w:color w:val="auto"/>
                <w:sz w:val="21"/>
                <w:szCs w:val="21"/>
                <w:highlight w:val="none"/>
                <w:lang w:val="en-US" w:eastAsia="zh-CN"/>
              </w:rPr>
              <w:t>设备监造相关</w:t>
            </w:r>
            <w:r>
              <w:rPr>
                <w:rFonts w:hint="default" w:ascii="仿宋" w:hAnsi="仿宋" w:eastAsia="仿宋" w:cs="仿宋"/>
                <w:color w:val="auto"/>
                <w:sz w:val="21"/>
                <w:szCs w:val="21"/>
                <w:highlight w:val="none"/>
                <w:lang w:val="en-US" w:eastAsia="zh-CN"/>
              </w:rPr>
              <w:t>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标21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四川等地区设备监造技术辅助服务项目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YTZB20230321KJ四川等地区设备监造技术辅助服务项目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协助招标方完成设备生产制造过程驻厂监造工作</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50</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1.投标人须具有独立承担民事责任能力的法人单位</w:t>
            </w:r>
            <w:r>
              <w:rPr>
                <w:rFonts w:hint="eastAsia" w:ascii="仿宋" w:hAnsi="仿宋" w:eastAsia="仿宋" w:cs="仿宋"/>
                <w:color w:val="auto"/>
                <w:sz w:val="21"/>
                <w:szCs w:val="21"/>
                <w:highlight w:val="none"/>
                <w:lang w:eastAsia="zh-CN"/>
              </w:rPr>
              <w:t>；</w:t>
            </w:r>
          </w:p>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具备</w:t>
            </w:r>
            <w:r>
              <w:rPr>
                <w:rFonts w:hint="eastAsia" w:ascii="仿宋" w:hAnsi="仿宋" w:eastAsia="仿宋" w:cs="仿宋"/>
                <w:color w:val="auto"/>
                <w:sz w:val="21"/>
                <w:szCs w:val="21"/>
                <w:highlight w:val="none"/>
                <w:lang w:val="en-US" w:eastAsia="zh-CN"/>
              </w:rPr>
              <w:t>甲</w:t>
            </w:r>
            <w:r>
              <w:rPr>
                <w:rFonts w:hint="eastAsia" w:ascii="仿宋" w:hAnsi="仿宋" w:eastAsia="仿宋" w:cs="仿宋"/>
                <w:color w:val="auto"/>
                <w:sz w:val="21"/>
                <w:szCs w:val="21"/>
                <w:highlight w:val="none"/>
              </w:rPr>
              <w:t>级设备监理资质</w:t>
            </w:r>
            <w:r>
              <w:rPr>
                <w:rFonts w:hint="eastAsia" w:ascii="仿宋" w:hAnsi="仿宋" w:eastAsia="仿宋" w:cs="仿宋"/>
                <w:color w:val="auto"/>
                <w:sz w:val="21"/>
                <w:szCs w:val="21"/>
                <w:highlight w:val="none"/>
                <w:lang w:eastAsia="zh-CN"/>
              </w:rPr>
              <w:t>；</w:t>
            </w:r>
          </w:p>
          <w:p>
            <w:pPr>
              <w:widowControl/>
              <w:numPr>
                <w:ilvl w:val="0"/>
                <w:numId w:val="0"/>
              </w:numPr>
              <w:spacing w:line="360" w:lineRule="auto"/>
              <w:ind w:leftChars="0"/>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提供2020年1月1日至招标公告发布前1日（以合同签订时间为准），</w:t>
            </w:r>
            <w:r>
              <w:rPr>
                <w:rFonts w:hint="eastAsia" w:ascii="仿宋" w:hAnsi="仿宋" w:eastAsia="仿宋" w:cs="仿宋"/>
                <w:color w:val="auto"/>
                <w:sz w:val="21"/>
                <w:szCs w:val="21"/>
                <w:highlight w:val="none"/>
                <w:lang w:val="en-US" w:eastAsia="zh-CN"/>
              </w:rPr>
              <w:t>设备监造相关</w:t>
            </w:r>
            <w:r>
              <w:rPr>
                <w:rFonts w:hint="default" w:ascii="仿宋" w:hAnsi="仿宋" w:eastAsia="仿宋" w:cs="仿宋"/>
                <w:color w:val="auto"/>
                <w:sz w:val="21"/>
                <w:szCs w:val="21"/>
                <w:highlight w:val="none"/>
                <w:lang w:val="en-US" w:eastAsia="zh-CN"/>
              </w:rPr>
              <w:t>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标22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highlight w:val="none"/>
                <w:lang w:val="en-US" w:eastAsia="zh-CN" w:bidi="ar-SA"/>
              </w:rPr>
              <w:t>防鸟罩代工服务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YTZB20230322KJ防鸟罩代工服务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防鸟罩代工服务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自合同签订之日起一年</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300</w:t>
            </w:r>
          </w:p>
        </w:tc>
        <w:tc>
          <w:tcPr>
            <w:tcW w:w="1041" w:type="dxa"/>
            <w:tcBorders>
              <w:tl2br w:val="nil"/>
              <w:tr2bl w:val="nil"/>
            </w:tcBorders>
            <w:shd w:val="clear" w:color="auto" w:fill="FFFFFF"/>
            <w:vAlign w:val="center"/>
          </w:tcPr>
          <w:p>
            <w:pPr>
              <w:widowControl/>
              <w:numPr>
                <w:ilvl w:val="0"/>
                <w:numId w:val="0"/>
              </w:numPr>
              <w:spacing w:line="360" w:lineRule="auto"/>
              <w:ind w:left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54000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1.投标人须具有独立承担民事责任能力的法人单位；</w:t>
            </w:r>
          </w:p>
          <w:p>
            <w:pPr>
              <w:widowControl/>
              <w:numPr>
                <w:ilvl w:val="0"/>
                <w:numId w:val="0"/>
              </w:numPr>
              <w:spacing w:line="360" w:lineRule="auto"/>
              <w:ind w:leftChars="0"/>
              <w:jc w:val="left"/>
              <w:textAlignment w:val="center"/>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2.提供2020年1月1日至招标公告发布前1日（以合同签订时间为准），同类业绩至少1份。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标23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信息发布及监控设备安装调试服务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YTZB20230323信息发布及监控设备安装调试服务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信息发布及监控设备安装调试服务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自合同签订之日起30个工作日</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2700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具有建筑与智能化工程专业承包贰级及以上资质证书（各省、自治区、直辖市住房和城乡建设厅）</w:t>
            </w:r>
            <w:r>
              <w:rPr>
                <w:rFonts w:hint="eastAsia" w:ascii="仿宋" w:hAnsi="仿宋" w:eastAsia="仿宋" w:cs="仿宋"/>
                <w:color w:val="auto"/>
                <w:sz w:val="21"/>
                <w:szCs w:val="21"/>
                <w:highlight w:val="none"/>
                <w:lang w:val="en-US" w:eastAsia="zh-CN"/>
              </w:rPr>
              <w:t>；</w:t>
            </w:r>
          </w:p>
          <w:p>
            <w:pPr>
              <w:widowControl/>
              <w:numPr>
                <w:ilvl w:val="0"/>
                <w:numId w:val="0"/>
              </w:numPr>
              <w:spacing w:line="360" w:lineRule="auto"/>
              <w:ind w:left="0" w:leftChars="0" w:firstLine="0" w:firstLineChars="0"/>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3.投标人通过质量管理体系认证，认证证书在有效期内。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标24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监造辅助工具系统</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YTZB20230324监造辅助工具系统</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监造辅助工具系统</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2年</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130</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23000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1.具有ISO27000系列信息安全管理体系认证证书；</w:t>
            </w:r>
          </w:p>
          <w:p>
            <w:pPr>
              <w:widowControl/>
              <w:numPr>
                <w:ilvl w:val="0"/>
                <w:numId w:val="0"/>
              </w:numPr>
              <w:spacing w:line="360" w:lineRule="auto"/>
              <w:ind w:leftChars="0"/>
              <w:jc w:val="left"/>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2.具有软件能力成熟度集成模型（CMMI）认证三级及以上证书；</w:t>
            </w:r>
          </w:p>
          <w:p>
            <w:pPr>
              <w:widowControl/>
              <w:numPr>
                <w:ilvl w:val="0"/>
                <w:numId w:val="0"/>
              </w:numPr>
              <w:spacing w:line="360" w:lineRule="auto"/>
              <w:ind w:leftChars="0"/>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3.提供2020年1月1日至招标公告发布前1日（以合同签订时间为准），具有软件开发或实施或运维等技术服务业绩不少于3份。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标25</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新能源及储能试验检测研究技术服务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YTZB20230325新能源及储能试验检测研究技术服务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新能源及储能试验检测研究技术服务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自合同签署之日起至2023年12月31日</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75</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default"/>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标26</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电网设备非金属检测劳务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GJZB20230326KJ电网设备非金属检测劳务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电网设备非金属检测劳务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96</w:t>
            </w:r>
          </w:p>
        </w:tc>
        <w:tc>
          <w:tcPr>
            <w:tcW w:w="1041"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17000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提供2020年1月1日至招标公告发布前1日（以合同签订时间为准），检测类业绩至少1份。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标27</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检测用脚手架搭设项目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GJZB20230327KJ检测用脚手架搭设项目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电站管道支吊架检查调整、电厂金属部件检验等检测用脚手架搭设服务，脚手架搭设满足招标方检测需求</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2700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投标人须具有独立承担民事责任能力的法人单位；</w:t>
            </w:r>
          </w:p>
          <w:p>
            <w:pPr>
              <w:widowControl/>
              <w:numPr>
                <w:ilvl w:val="0"/>
                <w:numId w:val="0"/>
              </w:numPr>
              <w:spacing w:line="360" w:lineRule="auto"/>
              <w:jc w:val="left"/>
              <w:textAlignment w:val="center"/>
              <w:rPr>
                <w:rFonts w:hint="default"/>
                <w:sz w:val="21"/>
                <w:szCs w:val="21"/>
                <w:lang w:val="en-US" w:eastAsia="zh-CN"/>
              </w:rPr>
            </w:pPr>
            <w:r>
              <w:rPr>
                <w:rFonts w:hint="eastAsia" w:ascii="仿宋" w:hAnsi="仿宋" w:eastAsia="仿宋" w:cs="仿宋"/>
                <w:color w:val="auto"/>
                <w:sz w:val="21"/>
                <w:szCs w:val="21"/>
                <w:highlight w:val="none"/>
                <w:lang w:val="en-US" w:eastAsia="zh-CN"/>
              </w:rPr>
              <w:t>2.具有安全生产许可证；</w:t>
            </w:r>
          </w:p>
          <w:p>
            <w:pPr>
              <w:widowControl/>
              <w:numPr>
                <w:ilvl w:val="0"/>
                <w:numId w:val="0"/>
              </w:numPr>
              <w:spacing w:line="360" w:lineRule="auto"/>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3.具有电力工程总承包三级及以上资质;</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default" w:ascii="仿宋" w:hAnsi="仿宋" w:eastAsia="仿宋" w:cs="仿宋"/>
                <w:color w:val="auto"/>
                <w:sz w:val="21"/>
                <w:szCs w:val="21"/>
                <w:highlight w:val="none"/>
                <w:lang w:val="en-US" w:eastAsia="zh-CN"/>
              </w:rPr>
              <w:t>提供2020年1月1日至招标公告发布前1日（以合同签订时间为准）</w:t>
            </w:r>
            <w:r>
              <w:rPr>
                <w:rFonts w:hint="eastAsia" w:ascii="仿宋" w:hAnsi="仿宋" w:eastAsia="仿宋" w:cs="仿宋"/>
                <w:color w:val="auto"/>
                <w:sz w:val="21"/>
                <w:szCs w:val="21"/>
                <w:highlight w:val="none"/>
                <w:lang w:val="en-US" w:eastAsia="zh-CN"/>
              </w:rPr>
              <w:t>，同类业绩至少1份。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标28</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锅检公司疲劳实验室改造</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GJZB20230328锅检公司疲劳实验室改造</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锅检公司疲劳实验室改造</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合同生效后30天内</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16</w:t>
            </w:r>
          </w:p>
        </w:tc>
        <w:tc>
          <w:tcPr>
            <w:tcW w:w="1041"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2800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1.投标人须具有独立承担民事责任能力的法人单位；</w:t>
            </w:r>
          </w:p>
          <w:p>
            <w:pPr>
              <w:widowControl/>
              <w:numPr>
                <w:ilvl w:val="0"/>
                <w:numId w:val="0"/>
              </w:numPr>
              <w:spacing w:line="360" w:lineRule="auto"/>
              <w:jc w:val="left"/>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2.具有安全生产许可证；</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提供2020年1月1日至招标公告发布前1日（以合同签订时间为准）</w:t>
            </w:r>
            <w:r>
              <w:rPr>
                <w:rFonts w:hint="eastAsia" w:ascii="仿宋" w:hAnsi="仿宋" w:eastAsia="仿宋" w:cs="仿宋"/>
                <w:color w:val="auto"/>
                <w:sz w:val="21"/>
                <w:szCs w:val="21"/>
                <w:highlight w:val="none"/>
                <w:lang w:val="en-US" w:eastAsia="zh-CN"/>
              </w:rPr>
              <w:t>，同类业绩至少1份。</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odoni MT">
    <w:altName w:val="Segoe Print"/>
    <w:panose1 w:val="02070603080606020203"/>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TVhN2YwOGU0M2QxZjAwMWRmNWM5ZTg4ZmM3YWYifQ=="/>
  </w:docVars>
  <w:rsids>
    <w:rsidRoot w:val="00F9588E"/>
    <w:rsid w:val="0000658A"/>
    <w:rsid w:val="000632AE"/>
    <w:rsid w:val="000713FF"/>
    <w:rsid w:val="0014561C"/>
    <w:rsid w:val="001836BE"/>
    <w:rsid w:val="001A5543"/>
    <w:rsid w:val="001B4CBC"/>
    <w:rsid w:val="00202CD5"/>
    <w:rsid w:val="002577F1"/>
    <w:rsid w:val="00281A46"/>
    <w:rsid w:val="00337CC7"/>
    <w:rsid w:val="00417293"/>
    <w:rsid w:val="004570DD"/>
    <w:rsid w:val="0047524A"/>
    <w:rsid w:val="00540CC0"/>
    <w:rsid w:val="0057375F"/>
    <w:rsid w:val="00590139"/>
    <w:rsid w:val="0068619F"/>
    <w:rsid w:val="00713779"/>
    <w:rsid w:val="007452E4"/>
    <w:rsid w:val="007C395E"/>
    <w:rsid w:val="008C5036"/>
    <w:rsid w:val="008D1FEC"/>
    <w:rsid w:val="009A1A45"/>
    <w:rsid w:val="009C0CAF"/>
    <w:rsid w:val="00A20ECD"/>
    <w:rsid w:val="00A347C5"/>
    <w:rsid w:val="00B12DD6"/>
    <w:rsid w:val="00B527AC"/>
    <w:rsid w:val="00D811D8"/>
    <w:rsid w:val="00DA3B4D"/>
    <w:rsid w:val="00DA5A97"/>
    <w:rsid w:val="00DB1883"/>
    <w:rsid w:val="00EE3608"/>
    <w:rsid w:val="00F330E2"/>
    <w:rsid w:val="00F9588E"/>
    <w:rsid w:val="01234F0D"/>
    <w:rsid w:val="012F5F9F"/>
    <w:rsid w:val="013B0DE8"/>
    <w:rsid w:val="015F1027"/>
    <w:rsid w:val="016D792B"/>
    <w:rsid w:val="016E715B"/>
    <w:rsid w:val="01806516"/>
    <w:rsid w:val="019055CB"/>
    <w:rsid w:val="019C1C2B"/>
    <w:rsid w:val="01B1041C"/>
    <w:rsid w:val="01B97F5E"/>
    <w:rsid w:val="01E30715"/>
    <w:rsid w:val="01EB5614"/>
    <w:rsid w:val="01EF7212"/>
    <w:rsid w:val="024F60AA"/>
    <w:rsid w:val="027C04A1"/>
    <w:rsid w:val="02B40E52"/>
    <w:rsid w:val="02D57A82"/>
    <w:rsid w:val="02EF10C4"/>
    <w:rsid w:val="03637A5D"/>
    <w:rsid w:val="03CB601C"/>
    <w:rsid w:val="049B1423"/>
    <w:rsid w:val="04F96D2A"/>
    <w:rsid w:val="0509718E"/>
    <w:rsid w:val="051734DA"/>
    <w:rsid w:val="05860158"/>
    <w:rsid w:val="05BF4560"/>
    <w:rsid w:val="05D40153"/>
    <w:rsid w:val="05E57553"/>
    <w:rsid w:val="05F21BF5"/>
    <w:rsid w:val="06003583"/>
    <w:rsid w:val="065C7200"/>
    <w:rsid w:val="06771E7A"/>
    <w:rsid w:val="06A4730E"/>
    <w:rsid w:val="071D0339"/>
    <w:rsid w:val="07567C06"/>
    <w:rsid w:val="07571DAC"/>
    <w:rsid w:val="078B5EF9"/>
    <w:rsid w:val="08177384"/>
    <w:rsid w:val="081E31E9"/>
    <w:rsid w:val="083018DA"/>
    <w:rsid w:val="0860656F"/>
    <w:rsid w:val="08AD4685"/>
    <w:rsid w:val="08AE6B07"/>
    <w:rsid w:val="08F75A40"/>
    <w:rsid w:val="09325653"/>
    <w:rsid w:val="09555CE0"/>
    <w:rsid w:val="096D76C2"/>
    <w:rsid w:val="09F16201"/>
    <w:rsid w:val="0A14667A"/>
    <w:rsid w:val="0A177036"/>
    <w:rsid w:val="0A4D0377"/>
    <w:rsid w:val="0AC35F9A"/>
    <w:rsid w:val="0ACC0E63"/>
    <w:rsid w:val="0AFB5144"/>
    <w:rsid w:val="0B337D9C"/>
    <w:rsid w:val="0B907F82"/>
    <w:rsid w:val="0B9235C3"/>
    <w:rsid w:val="0BC669F3"/>
    <w:rsid w:val="0BD624E2"/>
    <w:rsid w:val="0BFD1A31"/>
    <w:rsid w:val="0C2E7A6D"/>
    <w:rsid w:val="0C2F04E7"/>
    <w:rsid w:val="0CA35A93"/>
    <w:rsid w:val="0D0F04D3"/>
    <w:rsid w:val="0D234CDB"/>
    <w:rsid w:val="0D2546FA"/>
    <w:rsid w:val="0D4E7A8C"/>
    <w:rsid w:val="0DC108C7"/>
    <w:rsid w:val="0DCB704F"/>
    <w:rsid w:val="0DF450C4"/>
    <w:rsid w:val="0E206C35"/>
    <w:rsid w:val="0E681E9F"/>
    <w:rsid w:val="0E6F3E7F"/>
    <w:rsid w:val="0EE77BE1"/>
    <w:rsid w:val="0EED48FA"/>
    <w:rsid w:val="0F176708"/>
    <w:rsid w:val="0F340F65"/>
    <w:rsid w:val="0F75567B"/>
    <w:rsid w:val="0F8F7447"/>
    <w:rsid w:val="0FAB3402"/>
    <w:rsid w:val="0FB12275"/>
    <w:rsid w:val="0FF705D0"/>
    <w:rsid w:val="10044A9B"/>
    <w:rsid w:val="10414B65"/>
    <w:rsid w:val="1094219B"/>
    <w:rsid w:val="10B72CD9"/>
    <w:rsid w:val="11051015"/>
    <w:rsid w:val="111D5E14"/>
    <w:rsid w:val="115447B9"/>
    <w:rsid w:val="11623C1C"/>
    <w:rsid w:val="11EA7DAE"/>
    <w:rsid w:val="121C256F"/>
    <w:rsid w:val="12276063"/>
    <w:rsid w:val="1285412D"/>
    <w:rsid w:val="129E1DE1"/>
    <w:rsid w:val="13370F2E"/>
    <w:rsid w:val="13E21C84"/>
    <w:rsid w:val="140A4208"/>
    <w:rsid w:val="14537014"/>
    <w:rsid w:val="14664F91"/>
    <w:rsid w:val="14667AD2"/>
    <w:rsid w:val="14792BFB"/>
    <w:rsid w:val="147D6AE6"/>
    <w:rsid w:val="14922675"/>
    <w:rsid w:val="14967213"/>
    <w:rsid w:val="14AE6757"/>
    <w:rsid w:val="15377489"/>
    <w:rsid w:val="15531AC3"/>
    <w:rsid w:val="157E6411"/>
    <w:rsid w:val="157F6CE8"/>
    <w:rsid w:val="15873EEC"/>
    <w:rsid w:val="15D516BA"/>
    <w:rsid w:val="15FA4976"/>
    <w:rsid w:val="15FD5804"/>
    <w:rsid w:val="163C33C7"/>
    <w:rsid w:val="166F711D"/>
    <w:rsid w:val="16897AA8"/>
    <w:rsid w:val="16A41D34"/>
    <w:rsid w:val="16BC0089"/>
    <w:rsid w:val="173F1128"/>
    <w:rsid w:val="1752258F"/>
    <w:rsid w:val="17752B1A"/>
    <w:rsid w:val="17756DB5"/>
    <w:rsid w:val="17831AAD"/>
    <w:rsid w:val="17872239"/>
    <w:rsid w:val="17A74645"/>
    <w:rsid w:val="17CB595D"/>
    <w:rsid w:val="182A678E"/>
    <w:rsid w:val="184864BE"/>
    <w:rsid w:val="189248B4"/>
    <w:rsid w:val="18A548E4"/>
    <w:rsid w:val="190D174E"/>
    <w:rsid w:val="19281D40"/>
    <w:rsid w:val="1954195E"/>
    <w:rsid w:val="197A5214"/>
    <w:rsid w:val="19CE0B94"/>
    <w:rsid w:val="19FD1EFC"/>
    <w:rsid w:val="1A335FFC"/>
    <w:rsid w:val="1A3B20EE"/>
    <w:rsid w:val="1A772A0D"/>
    <w:rsid w:val="1A821DAF"/>
    <w:rsid w:val="1AB169DC"/>
    <w:rsid w:val="1AD1589B"/>
    <w:rsid w:val="1AD8490D"/>
    <w:rsid w:val="1BBD621D"/>
    <w:rsid w:val="1BDD109F"/>
    <w:rsid w:val="1BDD1B49"/>
    <w:rsid w:val="1BE7599C"/>
    <w:rsid w:val="1C213768"/>
    <w:rsid w:val="1C711ACC"/>
    <w:rsid w:val="1CF91639"/>
    <w:rsid w:val="1CF95AC6"/>
    <w:rsid w:val="1DEF28E6"/>
    <w:rsid w:val="1E3C2C8E"/>
    <w:rsid w:val="1E5F5CBE"/>
    <w:rsid w:val="1E8124D1"/>
    <w:rsid w:val="1F05116A"/>
    <w:rsid w:val="1F130856"/>
    <w:rsid w:val="1F185E6D"/>
    <w:rsid w:val="1F3E19E5"/>
    <w:rsid w:val="1F83128A"/>
    <w:rsid w:val="1FA12CCF"/>
    <w:rsid w:val="1FF23E3D"/>
    <w:rsid w:val="1FFB45A1"/>
    <w:rsid w:val="20245C05"/>
    <w:rsid w:val="20542ED4"/>
    <w:rsid w:val="20595293"/>
    <w:rsid w:val="209C4713"/>
    <w:rsid w:val="20AF1FEA"/>
    <w:rsid w:val="20F546B7"/>
    <w:rsid w:val="20F93DBC"/>
    <w:rsid w:val="210A49DC"/>
    <w:rsid w:val="21A25374"/>
    <w:rsid w:val="22246B5C"/>
    <w:rsid w:val="22317EA4"/>
    <w:rsid w:val="22594B8D"/>
    <w:rsid w:val="226D7957"/>
    <w:rsid w:val="232C3F16"/>
    <w:rsid w:val="234A23D1"/>
    <w:rsid w:val="235C2C73"/>
    <w:rsid w:val="23683AF9"/>
    <w:rsid w:val="23947475"/>
    <w:rsid w:val="23A2690A"/>
    <w:rsid w:val="23B31F24"/>
    <w:rsid w:val="23BC14BC"/>
    <w:rsid w:val="2461699A"/>
    <w:rsid w:val="248D2F69"/>
    <w:rsid w:val="24AD3D30"/>
    <w:rsid w:val="24BE3012"/>
    <w:rsid w:val="24C85D59"/>
    <w:rsid w:val="252256B0"/>
    <w:rsid w:val="25987D07"/>
    <w:rsid w:val="25A10296"/>
    <w:rsid w:val="25C21913"/>
    <w:rsid w:val="25EA6315"/>
    <w:rsid w:val="25FF4846"/>
    <w:rsid w:val="26067744"/>
    <w:rsid w:val="262B2929"/>
    <w:rsid w:val="26351648"/>
    <w:rsid w:val="264A6EF7"/>
    <w:rsid w:val="264E0DE8"/>
    <w:rsid w:val="26784FA2"/>
    <w:rsid w:val="268C43C0"/>
    <w:rsid w:val="26E31456"/>
    <w:rsid w:val="27096217"/>
    <w:rsid w:val="274921CB"/>
    <w:rsid w:val="284C3915"/>
    <w:rsid w:val="289522DC"/>
    <w:rsid w:val="28AF28D3"/>
    <w:rsid w:val="28ED565C"/>
    <w:rsid w:val="290A43E9"/>
    <w:rsid w:val="293164A9"/>
    <w:rsid w:val="297112B9"/>
    <w:rsid w:val="298B5BC6"/>
    <w:rsid w:val="2A0503F7"/>
    <w:rsid w:val="2A241B69"/>
    <w:rsid w:val="2A6B5052"/>
    <w:rsid w:val="2A8C4B14"/>
    <w:rsid w:val="2AB15796"/>
    <w:rsid w:val="2AD11383"/>
    <w:rsid w:val="2B3D23C5"/>
    <w:rsid w:val="2B594CE5"/>
    <w:rsid w:val="2B6E47DB"/>
    <w:rsid w:val="2B79395F"/>
    <w:rsid w:val="2BC058C2"/>
    <w:rsid w:val="2BFB7C2A"/>
    <w:rsid w:val="2C3712E3"/>
    <w:rsid w:val="2C7519B2"/>
    <w:rsid w:val="2CA04504"/>
    <w:rsid w:val="2CA84CD4"/>
    <w:rsid w:val="2D484532"/>
    <w:rsid w:val="2D5269EE"/>
    <w:rsid w:val="2D5D58E1"/>
    <w:rsid w:val="2D62285D"/>
    <w:rsid w:val="2D8801A8"/>
    <w:rsid w:val="2D94037D"/>
    <w:rsid w:val="2DAE61FB"/>
    <w:rsid w:val="2E572113"/>
    <w:rsid w:val="2EC15BD9"/>
    <w:rsid w:val="2ECD493F"/>
    <w:rsid w:val="2ED87CA9"/>
    <w:rsid w:val="2EDF69A7"/>
    <w:rsid w:val="2EEF601B"/>
    <w:rsid w:val="2F1B6430"/>
    <w:rsid w:val="2F1C7B6E"/>
    <w:rsid w:val="2F4037FB"/>
    <w:rsid w:val="2F503EA5"/>
    <w:rsid w:val="2F590507"/>
    <w:rsid w:val="2F754A66"/>
    <w:rsid w:val="2FA07DB3"/>
    <w:rsid w:val="2FAC4EBD"/>
    <w:rsid w:val="2FC94D7C"/>
    <w:rsid w:val="30624C90"/>
    <w:rsid w:val="30703D5A"/>
    <w:rsid w:val="307E400C"/>
    <w:rsid w:val="3095294E"/>
    <w:rsid w:val="30A44409"/>
    <w:rsid w:val="30F2169A"/>
    <w:rsid w:val="31227DF4"/>
    <w:rsid w:val="31451F37"/>
    <w:rsid w:val="31A43590"/>
    <w:rsid w:val="31A44643"/>
    <w:rsid w:val="31A66AA6"/>
    <w:rsid w:val="31D048FB"/>
    <w:rsid w:val="31DA38DB"/>
    <w:rsid w:val="31E4268F"/>
    <w:rsid w:val="31ED69C1"/>
    <w:rsid w:val="320278E9"/>
    <w:rsid w:val="327754EF"/>
    <w:rsid w:val="331544E1"/>
    <w:rsid w:val="33367CBC"/>
    <w:rsid w:val="333C14EA"/>
    <w:rsid w:val="33414383"/>
    <w:rsid w:val="338C7B11"/>
    <w:rsid w:val="33AD57DB"/>
    <w:rsid w:val="33B24F66"/>
    <w:rsid w:val="33B67FFE"/>
    <w:rsid w:val="33D75E9F"/>
    <w:rsid w:val="34002886"/>
    <w:rsid w:val="34282747"/>
    <w:rsid w:val="344D5D10"/>
    <w:rsid w:val="344F1AE2"/>
    <w:rsid w:val="347B18CE"/>
    <w:rsid w:val="34894381"/>
    <w:rsid w:val="349F7CE1"/>
    <w:rsid w:val="352A5469"/>
    <w:rsid w:val="352D4825"/>
    <w:rsid w:val="35551771"/>
    <w:rsid w:val="35D94150"/>
    <w:rsid w:val="35FA7C22"/>
    <w:rsid w:val="363268B0"/>
    <w:rsid w:val="36474AB1"/>
    <w:rsid w:val="36723C5D"/>
    <w:rsid w:val="367D4909"/>
    <w:rsid w:val="368B45C1"/>
    <w:rsid w:val="36ED5C44"/>
    <w:rsid w:val="372E04CB"/>
    <w:rsid w:val="373109A3"/>
    <w:rsid w:val="3741658C"/>
    <w:rsid w:val="375077F5"/>
    <w:rsid w:val="3766588D"/>
    <w:rsid w:val="379930B7"/>
    <w:rsid w:val="379A7F64"/>
    <w:rsid w:val="37B31F05"/>
    <w:rsid w:val="37E0159A"/>
    <w:rsid w:val="37F60EFC"/>
    <w:rsid w:val="37FE6076"/>
    <w:rsid w:val="38082ACA"/>
    <w:rsid w:val="382221C6"/>
    <w:rsid w:val="38452862"/>
    <w:rsid w:val="38A17BC6"/>
    <w:rsid w:val="38EE480F"/>
    <w:rsid w:val="38F44A04"/>
    <w:rsid w:val="3951224F"/>
    <w:rsid w:val="39AE1450"/>
    <w:rsid w:val="39BA6046"/>
    <w:rsid w:val="39CF466D"/>
    <w:rsid w:val="39D30548"/>
    <w:rsid w:val="3A064DE8"/>
    <w:rsid w:val="3A0A0D21"/>
    <w:rsid w:val="3A365B08"/>
    <w:rsid w:val="3A6C46E2"/>
    <w:rsid w:val="3A9B6522"/>
    <w:rsid w:val="3AA34791"/>
    <w:rsid w:val="3AF115C3"/>
    <w:rsid w:val="3AFA6EA6"/>
    <w:rsid w:val="3AFC14EE"/>
    <w:rsid w:val="3AFD56A9"/>
    <w:rsid w:val="3B021984"/>
    <w:rsid w:val="3B4E4C98"/>
    <w:rsid w:val="3B625B39"/>
    <w:rsid w:val="3B6F06AF"/>
    <w:rsid w:val="3B732487"/>
    <w:rsid w:val="3B805A0C"/>
    <w:rsid w:val="3B8A5BD4"/>
    <w:rsid w:val="3B934DA1"/>
    <w:rsid w:val="3B994F8C"/>
    <w:rsid w:val="3B9C4F8F"/>
    <w:rsid w:val="3BE21884"/>
    <w:rsid w:val="3C3570EA"/>
    <w:rsid w:val="3C41414F"/>
    <w:rsid w:val="3CCD67EF"/>
    <w:rsid w:val="3CCF005B"/>
    <w:rsid w:val="3CDB07AE"/>
    <w:rsid w:val="3CEB26D2"/>
    <w:rsid w:val="3D1B7D4C"/>
    <w:rsid w:val="3D366A62"/>
    <w:rsid w:val="3D7D3613"/>
    <w:rsid w:val="3D912D0A"/>
    <w:rsid w:val="3E377224"/>
    <w:rsid w:val="3E507E64"/>
    <w:rsid w:val="3E521924"/>
    <w:rsid w:val="3E5C4E20"/>
    <w:rsid w:val="3E793BB7"/>
    <w:rsid w:val="3EB214E7"/>
    <w:rsid w:val="3EC53263"/>
    <w:rsid w:val="3EEA2851"/>
    <w:rsid w:val="3F0F5924"/>
    <w:rsid w:val="3F566811"/>
    <w:rsid w:val="3F99102C"/>
    <w:rsid w:val="3FA44372"/>
    <w:rsid w:val="3FF06A85"/>
    <w:rsid w:val="3FFF028B"/>
    <w:rsid w:val="403A1C8F"/>
    <w:rsid w:val="4114428E"/>
    <w:rsid w:val="413062F6"/>
    <w:rsid w:val="416C5E78"/>
    <w:rsid w:val="417D52AA"/>
    <w:rsid w:val="41F612D5"/>
    <w:rsid w:val="41FC2843"/>
    <w:rsid w:val="424F5CDF"/>
    <w:rsid w:val="42A51357"/>
    <w:rsid w:val="42A916E2"/>
    <w:rsid w:val="42BB226C"/>
    <w:rsid w:val="42C6780A"/>
    <w:rsid w:val="42D9753D"/>
    <w:rsid w:val="42F25449"/>
    <w:rsid w:val="4322266F"/>
    <w:rsid w:val="43B51EE9"/>
    <w:rsid w:val="43BD6E5F"/>
    <w:rsid w:val="440D3115"/>
    <w:rsid w:val="44832C36"/>
    <w:rsid w:val="44D367CF"/>
    <w:rsid w:val="45130693"/>
    <w:rsid w:val="45446B87"/>
    <w:rsid w:val="45561319"/>
    <w:rsid w:val="45690553"/>
    <w:rsid w:val="45A0094D"/>
    <w:rsid w:val="45E62936"/>
    <w:rsid w:val="45E81B56"/>
    <w:rsid w:val="45F94EA0"/>
    <w:rsid w:val="46242673"/>
    <w:rsid w:val="464878CC"/>
    <w:rsid w:val="46C02A90"/>
    <w:rsid w:val="46C811AB"/>
    <w:rsid w:val="46D2337C"/>
    <w:rsid w:val="46E56ACD"/>
    <w:rsid w:val="46E83AAF"/>
    <w:rsid w:val="46EE37D3"/>
    <w:rsid w:val="46FE3A16"/>
    <w:rsid w:val="471B1FC0"/>
    <w:rsid w:val="473D3E13"/>
    <w:rsid w:val="479D6D99"/>
    <w:rsid w:val="47A125F4"/>
    <w:rsid w:val="47F0411D"/>
    <w:rsid w:val="47F31056"/>
    <w:rsid w:val="4831454F"/>
    <w:rsid w:val="490123CA"/>
    <w:rsid w:val="49116CB7"/>
    <w:rsid w:val="492522F9"/>
    <w:rsid w:val="495D1418"/>
    <w:rsid w:val="4974397A"/>
    <w:rsid w:val="497B59FF"/>
    <w:rsid w:val="4A637DD3"/>
    <w:rsid w:val="4A9C3756"/>
    <w:rsid w:val="4ABB2BAE"/>
    <w:rsid w:val="4AE81BD0"/>
    <w:rsid w:val="4B646FA9"/>
    <w:rsid w:val="4B6C7931"/>
    <w:rsid w:val="4B8C76FC"/>
    <w:rsid w:val="4B92297F"/>
    <w:rsid w:val="4B9761E7"/>
    <w:rsid w:val="4C241BAA"/>
    <w:rsid w:val="4C59349D"/>
    <w:rsid w:val="4C7135C1"/>
    <w:rsid w:val="4C875508"/>
    <w:rsid w:val="4CC1749D"/>
    <w:rsid w:val="4CE30FB8"/>
    <w:rsid w:val="4D225F85"/>
    <w:rsid w:val="4D6C41DA"/>
    <w:rsid w:val="4D7D4E16"/>
    <w:rsid w:val="4D7F194F"/>
    <w:rsid w:val="4D834563"/>
    <w:rsid w:val="4D994C53"/>
    <w:rsid w:val="4DBA440F"/>
    <w:rsid w:val="4DC2581C"/>
    <w:rsid w:val="4DC32DF9"/>
    <w:rsid w:val="4DEB7471"/>
    <w:rsid w:val="4DF427AC"/>
    <w:rsid w:val="4E485577"/>
    <w:rsid w:val="4E7B594C"/>
    <w:rsid w:val="4E881473"/>
    <w:rsid w:val="4EAD5D22"/>
    <w:rsid w:val="4F0A30B0"/>
    <w:rsid w:val="4F0B1A4E"/>
    <w:rsid w:val="4F6A776F"/>
    <w:rsid w:val="4F822D0B"/>
    <w:rsid w:val="4FFB6951"/>
    <w:rsid w:val="501F1A47"/>
    <w:rsid w:val="50403264"/>
    <w:rsid w:val="5080549C"/>
    <w:rsid w:val="508B175F"/>
    <w:rsid w:val="50E6184F"/>
    <w:rsid w:val="51252566"/>
    <w:rsid w:val="518E5997"/>
    <w:rsid w:val="51917235"/>
    <w:rsid w:val="51E150E7"/>
    <w:rsid w:val="51EB5D42"/>
    <w:rsid w:val="51EF7509"/>
    <w:rsid w:val="51F65888"/>
    <w:rsid w:val="520F4262"/>
    <w:rsid w:val="521B6F37"/>
    <w:rsid w:val="525D0974"/>
    <w:rsid w:val="52AD0A97"/>
    <w:rsid w:val="530913C3"/>
    <w:rsid w:val="53A97AFA"/>
    <w:rsid w:val="53AF7FC2"/>
    <w:rsid w:val="53ED1EBA"/>
    <w:rsid w:val="543209E8"/>
    <w:rsid w:val="543D4D54"/>
    <w:rsid w:val="54402389"/>
    <w:rsid w:val="545574A2"/>
    <w:rsid w:val="54947768"/>
    <w:rsid w:val="54B03AF6"/>
    <w:rsid w:val="54DA7145"/>
    <w:rsid w:val="557E0614"/>
    <w:rsid w:val="55A11C0D"/>
    <w:rsid w:val="55B53C4A"/>
    <w:rsid w:val="55C03264"/>
    <w:rsid w:val="55C7062B"/>
    <w:rsid w:val="55F84197"/>
    <w:rsid w:val="5637484F"/>
    <w:rsid w:val="5663516B"/>
    <w:rsid w:val="568C395F"/>
    <w:rsid w:val="56D1586A"/>
    <w:rsid w:val="56E6714F"/>
    <w:rsid w:val="572D585B"/>
    <w:rsid w:val="572F7DB7"/>
    <w:rsid w:val="57397455"/>
    <w:rsid w:val="57623C6F"/>
    <w:rsid w:val="578251C0"/>
    <w:rsid w:val="57A754EE"/>
    <w:rsid w:val="58CB127E"/>
    <w:rsid w:val="5A060B64"/>
    <w:rsid w:val="5AD00D60"/>
    <w:rsid w:val="5B3927A1"/>
    <w:rsid w:val="5B9E1F36"/>
    <w:rsid w:val="5BA57EC3"/>
    <w:rsid w:val="5BAF4E87"/>
    <w:rsid w:val="5BB22DD4"/>
    <w:rsid w:val="5C2A4C3A"/>
    <w:rsid w:val="5CB108B5"/>
    <w:rsid w:val="5CF61B91"/>
    <w:rsid w:val="5D5B02EB"/>
    <w:rsid w:val="5D630C1E"/>
    <w:rsid w:val="5DC30E14"/>
    <w:rsid w:val="5E1611EE"/>
    <w:rsid w:val="5E4F793E"/>
    <w:rsid w:val="5E604B5F"/>
    <w:rsid w:val="5EC553D1"/>
    <w:rsid w:val="5EE44B20"/>
    <w:rsid w:val="5F053FD1"/>
    <w:rsid w:val="5F463D55"/>
    <w:rsid w:val="5F847C37"/>
    <w:rsid w:val="5F9E24B2"/>
    <w:rsid w:val="5FA3330A"/>
    <w:rsid w:val="5FA55CD5"/>
    <w:rsid w:val="5FB17903"/>
    <w:rsid w:val="5FFE018B"/>
    <w:rsid w:val="60256402"/>
    <w:rsid w:val="60CE2492"/>
    <w:rsid w:val="60F76C10"/>
    <w:rsid w:val="61385904"/>
    <w:rsid w:val="61490AD8"/>
    <w:rsid w:val="61567F16"/>
    <w:rsid w:val="6158156E"/>
    <w:rsid w:val="61587D6F"/>
    <w:rsid w:val="615F3C93"/>
    <w:rsid w:val="61683A12"/>
    <w:rsid w:val="618D781E"/>
    <w:rsid w:val="61B07ECE"/>
    <w:rsid w:val="61DB4C28"/>
    <w:rsid w:val="61F41846"/>
    <w:rsid w:val="61F45E54"/>
    <w:rsid w:val="62231F15"/>
    <w:rsid w:val="622825CC"/>
    <w:rsid w:val="6312286A"/>
    <w:rsid w:val="63372094"/>
    <w:rsid w:val="637B46D9"/>
    <w:rsid w:val="63C53757"/>
    <w:rsid w:val="63D8564E"/>
    <w:rsid w:val="63FD4B48"/>
    <w:rsid w:val="640B2E77"/>
    <w:rsid w:val="64DF4A2F"/>
    <w:rsid w:val="655820EC"/>
    <w:rsid w:val="655D5954"/>
    <w:rsid w:val="65B53D12"/>
    <w:rsid w:val="65E240AB"/>
    <w:rsid w:val="65F162F4"/>
    <w:rsid w:val="65F242EE"/>
    <w:rsid w:val="660D085C"/>
    <w:rsid w:val="66250854"/>
    <w:rsid w:val="662B15AE"/>
    <w:rsid w:val="666F1EED"/>
    <w:rsid w:val="667A54D2"/>
    <w:rsid w:val="66FD5574"/>
    <w:rsid w:val="67372A05"/>
    <w:rsid w:val="673878F7"/>
    <w:rsid w:val="6773145F"/>
    <w:rsid w:val="678B49FB"/>
    <w:rsid w:val="67900263"/>
    <w:rsid w:val="67A8242A"/>
    <w:rsid w:val="67B02307"/>
    <w:rsid w:val="67B44F4D"/>
    <w:rsid w:val="67D83137"/>
    <w:rsid w:val="67DB669B"/>
    <w:rsid w:val="67DC442E"/>
    <w:rsid w:val="67F325A0"/>
    <w:rsid w:val="67FF0F45"/>
    <w:rsid w:val="68045198"/>
    <w:rsid w:val="683A01CF"/>
    <w:rsid w:val="683A2E8C"/>
    <w:rsid w:val="68424047"/>
    <w:rsid w:val="68453EBF"/>
    <w:rsid w:val="686F6B1A"/>
    <w:rsid w:val="68CA1553"/>
    <w:rsid w:val="68D9390C"/>
    <w:rsid w:val="68F51286"/>
    <w:rsid w:val="698211F1"/>
    <w:rsid w:val="69A71FBE"/>
    <w:rsid w:val="69B01026"/>
    <w:rsid w:val="69DA1138"/>
    <w:rsid w:val="6A2E7A43"/>
    <w:rsid w:val="6A472A6E"/>
    <w:rsid w:val="6A5437CA"/>
    <w:rsid w:val="6A5F2E5B"/>
    <w:rsid w:val="6AED1E8A"/>
    <w:rsid w:val="6B1E5B86"/>
    <w:rsid w:val="6B446093"/>
    <w:rsid w:val="6B8359E9"/>
    <w:rsid w:val="6BA1430B"/>
    <w:rsid w:val="6BCE3108"/>
    <w:rsid w:val="6C0F560E"/>
    <w:rsid w:val="6C184383"/>
    <w:rsid w:val="6C4A035E"/>
    <w:rsid w:val="6C901C67"/>
    <w:rsid w:val="6CD74A39"/>
    <w:rsid w:val="6CDA27F9"/>
    <w:rsid w:val="6D446347"/>
    <w:rsid w:val="6D670223"/>
    <w:rsid w:val="6D8E14CF"/>
    <w:rsid w:val="6DA636BC"/>
    <w:rsid w:val="6DB454B4"/>
    <w:rsid w:val="6DD3742D"/>
    <w:rsid w:val="6DEB2EA8"/>
    <w:rsid w:val="6E0F5839"/>
    <w:rsid w:val="6E184283"/>
    <w:rsid w:val="6E72423B"/>
    <w:rsid w:val="6E731D44"/>
    <w:rsid w:val="6EF92483"/>
    <w:rsid w:val="6F4D6275"/>
    <w:rsid w:val="6F71619F"/>
    <w:rsid w:val="6F811C8E"/>
    <w:rsid w:val="6FA207D9"/>
    <w:rsid w:val="6FDE216D"/>
    <w:rsid w:val="6FE64ED6"/>
    <w:rsid w:val="70176751"/>
    <w:rsid w:val="70422316"/>
    <w:rsid w:val="704D54EF"/>
    <w:rsid w:val="706212F5"/>
    <w:rsid w:val="709F3565"/>
    <w:rsid w:val="70ED4030"/>
    <w:rsid w:val="70FF09A0"/>
    <w:rsid w:val="713C6174"/>
    <w:rsid w:val="7176698D"/>
    <w:rsid w:val="719B4BC5"/>
    <w:rsid w:val="71C328E7"/>
    <w:rsid w:val="72716788"/>
    <w:rsid w:val="7274056B"/>
    <w:rsid w:val="72805D21"/>
    <w:rsid w:val="72FF7B02"/>
    <w:rsid w:val="731735E6"/>
    <w:rsid w:val="73412C41"/>
    <w:rsid w:val="736B22FE"/>
    <w:rsid w:val="739068F9"/>
    <w:rsid w:val="73ED3799"/>
    <w:rsid w:val="73F27BAF"/>
    <w:rsid w:val="745F6CAE"/>
    <w:rsid w:val="74AA6A2A"/>
    <w:rsid w:val="74EB6AD9"/>
    <w:rsid w:val="74EE2E9B"/>
    <w:rsid w:val="75075AF4"/>
    <w:rsid w:val="7522309F"/>
    <w:rsid w:val="75604133"/>
    <w:rsid w:val="75921B64"/>
    <w:rsid w:val="75934F8A"/>
    <w:rsid w:val="75A61FCE"/>
    <w:rsid w:val="75D974CB"/>
    <w:rsid w:val="75E13F38"/>
    <w:rsid w:val="75F70A8C"/>
    <w:rsid w:val="76317817"/>
    <w:rsid w:val="7659375C"/>
    <w:rsid w:val="765B5EE0"/>
    <w:rsid w:val="76830E37"/>
    <w:rsid w:val="76FA12D1"/>
    <w:rsid w:val="777D3B64"/>
    <w:rsid w:val="77965466"/>
    <w:rsid w:val="779F79B7"/>
    <w:rsid w:val="77A03606"/>
    <w:rsid w:val="77DB72D8"/>
    <w:rsid w:val="78362761"/>
    <w:rsid w:val="78C043FB"/>
    <w:rsid w:val="78F03655"/>
    <w:rsid w:val="792151BF"/>
    <w:rsid w:val="793B5EC6"/>
    <w:rsid w:val="79430F5B"/>
    <w:rsid w:val="79715A65"/>
    <w:rsid w:val="79D55FA9"/>
    <w:rsid w:val="79EC4B5E"/>
    <w:rsid w:val="79F91C98"/>
    <w:rsid w:val="7A2E70D3"/>
    <w:rsid w:val="7A4E667D"/>
    <w:rsid w:val="7A996FD7"/>
    <w:rsid w:val="7AB64FD1"/>
    <w:rsid w:val="7ABA2DBB"/>
    <w:rsid w:val="7B1D5D0C"/>
    <w:rsid w:val="7B41681E"/>
    <w:rsid w:val="7B6E3FBF"/>
    <w:rsid w:val="7BC41206"/>
    <w:rsid w:val="7C0E4EAB"/>
    <w:rsid w:val="7C252D50"/>
    <w:rsid w:val="7C4456E8"/>
    <w:rsid w:val="7CA453B7"/>
    <w:rsid w:val="7CA804DD"/>
    <w:rsid w:val="7CC90D4D"/>
    <w:rsid w:val="7D083FA0"/>
    <w:rsid w:val="7D0C7F34"/>
    <w:rsid w:val="7D4702B8"/>
    <w:rsid w:val="7D4B4634"/>
    <w:rsid w:val="7D7653AD"/>
    <w:rsid w:val="7D8B0DF5"/>
    <w:rsid w:val="7D8B7EC3"/>
    <w:rsid w:val="7D8C04ED"/>
    <w:rsid w:val="7DE93DD1"/>
    <w:rsid w:val="7E0E2810"/>
    <w:rsid w:val="7E585955"/>
    <w:rsid w:val="7EFA41C3"/>
    <w:rsid w:val="7F1D2706"/>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w:basedOn w:val="1"/>
    <w:next w:val="8"/>
    <w:unhideWhenUsed/>
    <w:qFormat/>
    <w:uiPriority w:val="0"/>
    <w:pPr>
      <w:spacing w:after="120"/>
    </w:pPr>
  </w:style>
  <w:style w:type="paragraph" w:styleId="8">
    <w:name w:val="Body Text Indent"/>
    <w:basedOn w:val="1"/>
    <w:next w:val="1"/>
    <w:unhideWhenUsed/>
    <w:qFormat/>
    <w:uiPriority w:val="0"/>
    <w:pPr>
      <w:spacing w:after="120"/>
      <w:ind w:left="420" w:left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envelope return"/>
    <w:basedOn w:val="1"/>
    <w:unhideWhenUsed/>
    <w:qFormat/>
    <w:uiPriority w:val="99"/>
    <w:pPr>
      <w:snapToGrid w:val="0"/>
    </w:pPr>
    <w:rPr>
      <w:rFonts w:ascii="Arial" w:hAnsi="Arial"/>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rPr>
      <w:rFonts w:ascii="Bodoni MT" w:hAnsi="Bodoni MT"/>
    </w:rPr>
  </w:style>
  <w:style w:type="paragraph" w:styleId="14">
    <w:name w:val="Body Text First Indent 2"/>
    <w:basedOn w:val="8"/>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 w:type="paragraph" w:customStyle="1" w:styleId="22">
    <w:name w:val="A标书正文"/>
    <w:basedOn w:val="1"/>
    <w:qFormat/>
    <w:uiPriority w:val="0"/>
    <w:pPr>
      <w:adjustRightInd w:val="0"/>
      <w:snapToGrid w:val="0"/>
      <w:spacing w:line="360" w:lineRule="auto"/>
      <w:ind w:firstLine="200" w:firstLineChars="200"/>
    </w:pPr>
    <w:rPr>
      <w:rFonts w:ascii="Times New Roman" w:hAnsi="Times New Roman" w:eastAsia="宋体" w:cs="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7706</Words>
  <Characters>9250</Characters>
  <Lines>41</Lines>
  <Paragraphs>11</Paragraphs>
  <TotalTime>11</TotalTime>
  <ScaleCrop>false</ScaleCrop>
  <LinksUpToDate>false</LinksUpToDate>
  <CharactersWithSpaces>9270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Administrator</cp:lastModifiedBy>
  <cp:lastPrinted>2023-02-02T02:19:00Z</cp:lastPrinted>
  <dcterms:modified xsi:type="dcterms:W3CDTF">2023-03-31T03:05:24Z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A80B95B2EF074C3693DD7C1BB1603DC4</vt:lpwstr>
  </property>
</Properties>
</file>