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highlight w:val="none"/>
        </w:rPr>
      </w:pPr>
      <w:bookmarkStart w:id="1" w:name="_GoBack"/>
      <w:bookmarkEnd w:id="1"/>
      <w:r>
        <w:rPr>
          <w:rFonts w:hint="eastAsia" w:ascii="仿宋" w:hAnsi="仿宋" w:eastAsia="仿宋" w:cs="仿宋"/>
          <w:b/>
          <w:bCs/>
          <w:highlight w:val="none"/>
        </w:rPr>
        <w:t>附件1   招标需求一览表</w:t>
      </w:r>
    </w:p>
    <w:tbl>
      <w:tblPr>
        <w:tblStyle w:val="7"/>
        <w:tblW w:w="14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895"/>
        <w:gridCol w:w="5409"/>
        <w:gridCol w:w="646"/>
        <w:gridCol w:w="471"/>
        <w:gridCol w:w="988"/>
        <w:gridCol w:w="978"/>
        <w:gridCol w:w="1486"/>
        <w:gridCol w:w="1607"/>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824" w:type="dxa"/>
            <w:vAlign w:val="center"/>
          </w:tcPr>
          <w:p>
            <w:pPr>
              <w:widowControl/>
              <w:jc w:val="center"/>
              <w:rPr>
                <w:rFonts w:hint="eastAsia" w:ascii="仿宋" w:hAnsi="仿宋" w:eastAsia="仿宋" w:cs="仿宋"/>
                <w:b/>
                <w:bCs/>
                <w:kern w:val="0"/>
                <w:sz w:val="24"/>
                <w:szCs w:val="24"/>
                <w:highlight w:val="none"/>
              </w:rPr>
            </w:pPr>
            <w:bookmarkStart w:id="0" w:name="商务初评模板"/>
            <w:r>
              <w:rPr>
                <w:rFonts w:hint="eastAsia" w:ascii="仿宋" w:hAnsi="仿宋" w:eastAsia="仿宋" w:cs="仿宋"/>
                <w:b/>
                <w:bCs/>
                <w:kern w:val="0"/>
                <w:sz w:val="24"/>
                <w:szCs w:val="24"/>
                <w:highlight w:val="none"/>
              </w:rPr>
              <w:t>项目名称</w:t>
            </w:r>
          </w:p>
        </w:tc>
        <w:tc>
          <w:tcPr>
            <w:tcW w:w="895"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服务内容</w:t>
            </w:r>
          </w:p>
        </w:tc>
        <w:tc>
          <w:tcPr>
            <w:tcW w:w="5409"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主要技术要求</w:t>
            </w:r>
          </w:p>
        </w:tc>
        <w:tc>
          <w:tcPr>
            <w:tcW w:w="646"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单位</w:t>
            </w:r>
          </w:p>
        </w:tc>
        <w:tc>
          <w:tcPr>
            <w:tcW w:w="471"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数量</w:t>
            </w:r>
          </w:p>
        </w:tc>
        <w:tc>
          <w:tcPr>
            <w:tcW w:w="988"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服务期/工期</w:t>
            </w:r>
          </w:p>
        </w:tc>
        <w:tc>
          <w:tcPr>
            <w:tcW w:w="978" w:type="dxa"/>
            <w:shd w:val="clear" w:color="auto" w:fill="auto"/>
            <w:vAlign w:val="center"/>
          </w:tcPr>
          <w:p>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质保期</w:t>
            </w:r>
          </w:p>
        </w:tc>
        <w:tc>
          <w:tcPr>
            <w:tcW w:w="1486" w:type="dxa"/>
            <w:shd w:val="clear" w:color="auto" w:fill="auto"/>
            <w:vAlign w:val="center"/>
          </w:tcPr>
          <w:p>
            <w:pPr>
              <w:pStyle w:val="13"/>
              <w:widowControl/>
              <w:jc w:val="center"/>
              <w:rPr>
                <w:rFonts w:hint="eastAsia" w:ascii="仿宋" w:hAnsi="仿宋" w:eastAsia="仿宋" w:cs="仿宋"/>
                <w:b/>
                <w:bCs/>
                <w:kern w:val="0"/>
                <w:sz w:val="24"/>
                <w:szCs w:val="24"/>
                <w:highlight w:val="none"/>
                <w:lang w:val="en-US" w:eastAsia="zh-CN" w:bidi="ar-SA"/>
              </w:rPr>
            </w:pPr>
            <w:r>
              <w:rPr>
                <w:rFonts w:hint="eastAsia" w:ascii="仿宋" w:hAnsi="仿宋" w:eastAsia="仿宋" w:cs="仿宋"/>
                <w:b/>
                <w:bCs/>
                <w:kern w:val="0"/>
                <w:sz w:val="24"/>
                <w:szCs w:val="24"/>
                <w:highlight w:val="none"/>
                <w:lang w:val="en-US" w:eastAsia="zh-CN" w:bidi="ar-SA"/>
              </w:rPr>
              <w:t>专用资质要求</w:t>
            </w:r>
          </w:p>
        </w:tc>
        <w:tc>
          <w:tcPr>
            <w:tcW w:w="1607" w:type="dxa"/>
            <w:shd w:val="clear" w:color="auto" w:fill="auto"/>
            <w:vAlign w:val="center"/>
          </w:tcPr>
          <w:p>
            <w:pPr>
              <w:pStyle w:val="13"/>
              <w:widowControl/>
              <w:jc w:val="center"/>
              <w:rPr>
                <w:rFonts w:hint="eastAsia" w:ascii="仿宋" w:hAnsi="仿宋" w:eastAsia="仿宋" w:cs="仿宋"/>
                <w:b/>
                <w:bCs/>
                <w:kern w:val="0"/>
                <w:sz w:val="24"/>
                <w:szCs w:val="24"/>
                <w:highlight w:val="none"/>
                <w:lang w:val="en-US" w:eastAsia="zh-CN" w:bidi="ar-SA"/>
              </w:rPr>
            </w:pPr>
            <w:r>
              <w:rPr>
                <w:rFonts w:hint="eastAsia" w:ascii="仿宋" w:hAnsi="仿宋" w:eastAsia="仿宋" w:cs="仿宋"/>
                <w:b/>
                <w:bCs/>
                <w:kern w:val="0"/>
                <w:sz w:val="24"/>
                <w:szCs w:val="24"/>
                <w:highlight w:val="none"/>
                <w:lang w:val="en-US" w:eastAsia="zh-CN" w:bidi="ar-SA"/>
              </w:rPr>
              <w:t>专用业绩要求</w:t>
            </w:r>
          </w:p>
        </w:tc>
        <w:tc>
          <w:tcPr>
            <w:tcW w:w="1326" w:type="dxa"/>
            <w:shd w:val="clear" w:color="auto" w:fill="auto"/>
            <w:vAlign w:val="center"/>
          </w:tcPr>
          <w:p>
            <w:pPr>
              <w:pStyle w:val="13"/>
              <w:widowControl/>
              <w:jc w:val="center"/>
              <w:rPr>
                <w:rFonts w:hint="eastAsia" w:ascii="仿宋" w:hAnsi="仿宋" w:eastAsia="仿宋" w:cs="仿宋"/>
                <w:b/>
                <w:bCs/>
                <w:kern w:val="0"/>
                <w:sz w:val="24"/>
                <w:szCs w:val="24"/>
                <w:highlight w:val="none"/>
                <w:lang w:val="en-US" w:eastAsia="zh-CN" w:bidi="ar-SA"/>
              </w:rPr>
            </w:pPr>
            <w:r>
              <w:rPr>
                <w:rFonts w:hint="eastAsia" w:ascii="仿宋" w:hAnsi="仿宋" w:eastAsia="仿宋" w:cs="仿宋"/>
                <w:b/>
                <w:bCs/>
                <w:kern w:val="0"/>
                <w:sz w:val="24"/>
                <w:szCs w:val="24"/>
                <w:highlight w:val="none"/>
                <w:lang w:val="en-US" w:eastAsia="zh-CN" w:bidi="ar-SA"/>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8" w:hRule="atLeast"/>
          <w:jc w:val="center"/>
        </w:trPr>
        <w:tc>
          <w:tcPr>
            <w:tcW w:w="824" w:type="dxa"/>
            <w:vMerge w:val="restart"/>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基于一码贯通的全量数据价值分析研究</w:t>
            </w:r>
            <w:r>
              <w:rPr>
                <w:rFonts w:hint="eastAsia" w:ascii="仿宋" w:hAnsi="仿宋" w:eastAsia="仿宋" w:cs="仿宋"/>
                <w:kern w:val="0"/>
                <w:sz w:val="24"/>
                <w:szCs w:val="24"/>
                <w:highlight w:val="none"/>
                <w:lang w:val="en-US" w:eastAsia="zh-CN"/>
              </w:rPr>
              <w:t>技术服务</w:t>
            </w:r>
            <w:r>
              <w:rPr>
                <w:rFonts w:hint="eastAsia" w:ascii="仿宋" w:hAnsi="仿宋" w:eastAsia="仿宋" w:cs="仿宋"/>
                <w:kern w:val="0"/>
                <w:sz w:val="24"/>
                <w:szCs w:val="24"/>
                <w:highlight w:val="none"/>
              </w:rPr>
              <w:t>项目</w:t>
            </w:r>
          </w:p>
        </w:tc>
        <w:tc>
          <w:tcPr>
            <w:tcW w:w="895" w:type="dxa"/>
            <w:shd w:val="clear" w:color="auto" w:fill="auto"/>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数据采集分析研究</w:t>
            </w:r>
          </w:p>
        </w:tc>
        <w:tc>
          <w:tcPr>
            <w:tcW w:w="5409" w:type="dxa"/>
            <w:shd w:val="clear" w:color="auto" w:fill="auto"/>
            <w:vAlign w:val="center"/>
          </w:tcPr>
          <w:p>
            <w:pPr>
              <w:rPr>
                <w:rFonts w:hint="eastAsia" w:ascii="仿宋" w:hAnsi="仿宋" w:eastAsia="仿宋" w:cs="仿宋"/>
                <w:sz w:val="24"/>
                <w:szCs w:val="24"/>
                <w:highlight w:val="none"/>
                <w:lang w:eastAsia="zh-Hans"/>
              </w:rPr>
            </w:pPr>
            <w:r>
              <w:rPr>
                <w:rFonts w:hint="eastAsia" w:ascii="仿宋" w:hAnsi="仿宋" w:eastAsia="仿宋" w:cs="仿宋"/>
                <w:sz w:val="24"/>
                <w:szCs w:val="24"/>
                <w:highlight w:val="none"/>
                <w:lang w:eastAsia="zh-Hans"/>
              </w:rPr>
              <w:t>研究数据采集的技术手段和方法，</w:t>
            </w:r>
            <w:r>
              <w:rPr>
                <w:rFonts w:hint="eastAsia" w:ascii="仿宋" w:hAnsi="仿宋" w:eastAsia="仿宋" w:cs="仿宋"/>
                <w:sz w:val="24"/>
                <w:szCs w:val="24"/>
                <w:highlight w:val="none"/>
              </w:rPr>
              <w:t>一码贯通后</w:t>
            </w:r>
            <w:r>
              <w:rPr>
                <w:rFonts w:hint="eastAsia" w:ascii="仿宋" w:hAnsi="仿宋" w:eastAsia="仿宋" w:cs="仿宋"/>
                <w:sz w:val="24"/>
                <w:szCs w:val="24"/>
                <w:highlight w:val="none"/>
                <w:lang w:eastAsia="zh-Hans"/>
              </w:rPr>
              <w:t>的数据采集现状进行梳理，在此基础上探索便捷</w:t>
            </w:r>
            <w:r>
              <w:rPr>
                <w:rFonts w:hint="eastAsia" w:ascii="仿宋" w:hAnsi="仿宋" w:eastAsia="仿宋" w:cs="仿宋"/>
                <w:sz w:val="24"/>
                <w:szCs w:val="24"/>
                <w:highlight w:val="none"/>
              </w:rPr>
              <w:t>智能</w:t>
            </w:r>
            <w:r>
              <w:rPr>
                <w:rFonts w:hint="eastAsia" w:ascii="仿宋" w:hAnsi="仿宋" w:eastAsia="仿宋" w:cs="仿宋"/>
                <w:sz w:val="24"/>
                <w:szCs w:val="24"/>
                <w:highlight w:val="none"/>
                <w:lang w:eastAsia="zh-Hans"/>
              </w:rPr>
              <w:t>的</w:t>
            </w:r>
            <w:r>
              <w:rPr>
                <w:rFonts w:hint="eastAsia" w:ascii="仿宋" w:hAnsi="仿宋" w:eastAsia="仿宋" w:cs="仿宋"/>
                <w:sz w:val="24"/>
                <w:szCs w:val="24"/>
                <w:highlight w:val="none"/>
              </w:rPr>
              <w:t>数据采集</w:t>
            </w:r>
            <w:r>
              <w:rPr>
                <w:rFonts w:hint="eastAsia" w:ascii="仿宋" w:hAnsi="仿宋" w:eastAsia="仿宋" w:cs="仿宋"/>
                <w:sz w:val="24"/>
                <w:szCs w:val="24"/>
                <w:highlight w:val="none"/>
                <w:lang w:eastAsia="zh-Hans"/>
              </w:rPr>
              <w:t>方式。创新</w:t>
            </w:r>
            <w:r>
              <w:rPr>
                <w:rFonts w:hint="eastAsia" w:ascii="仿宋" w:hAnsi="仿宋" w:eastAsia="仿宋" w:cs="仿宋"/>
                <w:sz w:val="24"/>
                <w:szCs w:val="24"/>
                <w:highlight w:val="none"/>
              </w:rPr>
              <w:t>数据采集</w:t>
            </w:r>
            <w:r>
              <w:rPr>
                <w:rFonts w:hint="eastAsia" w:ascii="仿宋" w:hAnsi="仿宋" w:eastAsia="仿宋" w:cs="仿宋"/>
                <w:sz w:val="24"/>
                <w:szCs w:val="24"/>
                <w:highlight w:val="none"/>
                <w:lang w:eastAsia="zh-Hans"/>
              </w:rPr>
              <w:t>与新技术融合应用，如智能包装、无源物联网、绿色物流等，让包装物实现数字化，从而真正让</w:t>
            </w:r>
            <w:r>
              <w:rPr>
                <w:rFonts w:hint="eastAsia" w:ascii="仿宋" w:hAnsi="仿宋" w:eastAsia="仿宋" w:cs="仿宋"/>
                <w:sz w:val="24"/>
                <w:szCs w:val="24"/>
                <w:highlight w:val="none"/>
              </w:rPr>
              <w:t>电力物资</w:t>
            </w:r>
            <w:r>
              <w:rPr>
                <w:rFonts w:hint="eastAsia" w:ascii="仿宋" w:hAnsi="仿宋" w:eastAsia="仿宋" w:cs="仿宋"/>
                <w:sz w:val="24"/>
                <w:szCs w:val="24"/>
                <w:highlight w:val="none"/>
                <w:lang w:eastAsia="zh-Hans"/>
              </w:rPr>
              <w:t>在物流全链路实现数字化流转，找出在数据采集方面存在的短板并进行科学分析，发掘更多有价值的数据采集。</w:t>
            </w:r>
          </w:p>
        </w:tc>
        <w:tc>
          <w:tcPr>
            <w:tcW w:w="646"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w:t>
            </w:r>
          </w:p>
        </w:tc>
        <w:tc>
          <w:tcPr>
            <w:tcW w:w="471"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p>
        </w:tc>
        <w:tc>
          <w:tcPr>
            <w:tcW w:w="988" w:type="dxa"/>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合同签订后</w:t>
            </w:r>
            <w:r>
              <w:rPr>
                <w:rFonts w:hint="eastAsia" w:ascii="仿宋" w:hAnsi="仿宋" w:eastAsia="仿宋" w:cs="仿宋"/>
                <w:sz w:val="24"/>
                <w:szCs w:val="24"/>
                <w:highlight w:val="none"/>
                <w:lang w:val="en-US" w:eastAsia="zh-CN"/>
              </w:rPr>
              <w:t>60</w:t>
            </w:r>
            <w:r>
              <w:rPr>
                <w:rFonts w:hint="eastAsia" w:ascii="仿宋" w:hAnsi="仿宋" w:eastAsia="仿宋" w:cs="仿宋"/>
                <w:sz w:val="24"/>
                <w:szCs w:val="24"/>
                <w:highlight w:val="none"/>
              </w:rPr>
              <w:t>日内</w:t>
            </w:r>
          </w:p>
        </w:tc>
        <w:tc>
          <w:tcPr>
            <w:tcW w:w="978" w:type="dxa"/>
            <w:shd w:val="clear" w:color="auto" w:fill="auto"/>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1年</w:t>
            </w:r>
          </w:p>
        </w:tc>
        <w:tc>
          <w:tcPr>
            <w:tcW w:w="1486" w:type="dxa"/>
            <w:vMerge w:val="restart"/>
            <w:shd w:val="clear" w:color="auto" w:fill="auto"/>
            <w:vAlign w:val="center"/>
          </w:tcPr>
          <w:p>
            <w:pPr>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供应商要求</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供应商应具有独立订立合同的法人资格。</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备注</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须组建5人及以上项目核心团队，并提供项目团队人员自投标文件递交截止日前近三个月在本单位的社保缴纳证明。</w:t>
            </w:r>
          </w:p>
        </w:tc>
        <w:tc>
          <w:tcPr>
            <w:tcW w:w="1607" w:type="dxa"/>
            <w:vMerge w:val="restart"/>
            <w:shd w:val="clear" w:color="auto" w:fill="auto"/>
            <w:vAlign w:val="center"/>
          </w:tcPr>
          <w:p>
            <w:pPr>
              <w:jc w:val="both"/>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完成过与招标项目相类似的同等或以上技术要求的项目</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2020年1月1日至招标采购公告发布日止，完成过信息化或管理咨询项目技术服务业绩不少于2份，合同额累计不低于</w:t>
            </w:r>
            <w:r>
              <w:rPr>
                <w:rFonts w:hint="eastAsia" w:ascii="仿宋" w:hAnsi="仿宋" w:eastAsia="仿宋" w:cs="仿宋"/>
                <w:kern w:val="0"/>
                <w:sz w:val="24"/>
                <w:szCs w:val="24"/>
                <w:highlight w:val="none"/>
                <w:lang w:val="en-US" w:eastAsia="zh-CN"/>
              </w:rPr>
              <w:t>80</w:t>
            </w:r>
            <w:r>
              <w:rPr>
                <w:rFonts w:hint="eastAsia" w:ascii="仿宋" w:hAnsi="仿宋" w:eastAsia="仿宋" w:cs="仿宋"/>
                <w:kern w:val="0"/>
                <w:sz w:val="24"/>
                <w:szCs w:val="24"/>
                <w:highlight w:val="none"/>
              </w:rPr>
              <w:t>万。注：业绩必须提供对应的合同复印件。</w:t>
            </w:r>
          </w:p>
        </w:tc>
        <w:tc>
          <w:tcPr>
            <w:tcW w:w="1326" w:type="dxa"/>
            <w:vMerge w:val="restart"/>
            <w:shd w:val="clear" w:color="auto" w:fill="auto"/>
            <w:vAlign w:val="center"/>
          </w:tcPr>
          <w:p>
            <w:pPr>
              <w:jc w:val="center"/>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6" w:hRule="atLeast"/>
          <w:jc w:val="center"/>
        </w:trPr>
        <w:tc>
          <w:tcPr>
            <w:tcW w:w="824" w:type="dxa"/>
            <w:vMerge w:val="continue"/>
            <w:vAlign w:val="center"/>
          </w:tcPr>
          <w:p>
            <w:pPr>
              <w:widowControl/>
              <w:jc w:val="center"/>
              <w:rPr>
                <w:rFonts w:hint="eastAsia" w:ascii="仿宋" w:hAnsi="仿宋" w:eastAsia="仿宋" w:cs="仿宋"/>
                <w:kern w:val="0"/>
                <w:sz w:val="24"/>
                <w:szCs w:val="24"/>
                <w:highlight w:val="none"/>
              </w:rPr>
            </w:pPr>
          </w:p>
        </w:tc>
        <w:tc>
          <w:tcPr>
            <w:tcW w:w="895" w:type="dxa"/>
            <w:shd w:val="clear" w:color="auto" w:fill="auto"/>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智能算法分析研究</w:t>
            </w:r>
          </w:p>
        </w:tc>
        <w:tc>
          <w:tcPr>
            <w:tcW w:w="5409" w:type="dxa"/>
            <w:shd w:val="clear" w:color="auto" w:fill="auto"/>
            <w:vAlign w:val="center"/>
          </w:tcPr>
          <w:p>
            <w:pPr>
              <w:rPr>
                <w:rFonts w:hint="eastAsia" w:ascii="仿宋" w:hAnsi="仿宋" w:eastAsia="仿宋" w:cs="仿宋"/>
                <w:sz w:val="24"/>
                <w:szCs w:val="24"/>
                <w:highlight w:val="none"/>
                <w:lang w:eastAsia="zh-Hans"/>
              </w:rPr>
            </w:pPr>
            <w:r>
              <w:rPr>
                <w:rFonts w:hint="eastAsia" w:ascii="仿宋" w:hAnsi="仿宋" w:eastAsia="仿宋" w:cs="仿宋"/>
                <w:sz w:val="24"/>
                <w:szCs w:val="24"/>
                <w:highlight w:val="none"/>
                <w:lang w:eastAsia="zh-Hans"/>
              </w:rPr>
              <w:t>依托</w:t>
            </w:r>
            <w:r>
              <w:rPr>
                <w:rFonts w:hint="eastAsia" w:ascii="仿宋" w:hAnsi="仿宋" w:eastAsia="仿宋" w:cs="仿宋"/>
                <w:sz w:val="24"/>
                <w:szCs w:val="24"/>
                <w:highlight w:val="none"/>
              </w:rPr>
              <w:t>一码贯通</w:t>
            </w:r>
            <w:r>
              <w:rPr>
                <w:rFonts w:hint="eastAsia" w:ascii="仿宋" w:hAnsi="仿宋" w:eastAsia="仿宋" w:cs="仿宋"/>
                <w:sz w:val="24"/>
                <w:szCs w:val="24"/>
                <w:highlight w:val="none"/>
                <w:lang w:eastAsia="zh-Hans"/>
              </w:rPr>
              <w:t>建立招标采购成本、设备质量</w:t>
            </w:r>
            <w:r>
              <w:rPr>
                <w:rFonts w:hint="eastAsia" w:ascii="仿宋" w:hAnsi="仿宋" w:eastAsia="仿宋" w:cs="仿宋"/>
                <w:sz w:val="24"/>
                <w:szCs w:val="24"/>
                <w:highlight w:val="none"/>
              </w:rPr>
              <w:t>数据的</w:t>
            </w:r>
            <w:r>
              <w:rPr>
                <w:rFonts w:hint="eastAsia" w:ascii="仿宋" w:hAnsi="仿宋" w:eastAsia="仿宋" w:cs="仿宋"/>
                <w:sz w:val="24"/>
                <w:szCs w:val="24"/>
                <w:highlight w:val="none"/>
                <w:lang w:eastAsia="zh-Hans"/>
              </w:rPr>
              <w:t>智能算法，从</w:t>
            </w:r>
            <w:r>
              <w:rPr>
                <w:rFonts w:hint="eastAsia" w:ascii="仿宋" w:hAnsi="仿宋" w:eastAsia="仿宋" w:cs="仿宋"/>
                <w:sz w:val="24"/>
                <w:szCs w:val="24"/>
                <w:highlight w:val="none"/>
              </w:rPr>
              <w:t>电力设备的招标采购、生产监造、物流运输、质量检测、设备安装、投运维护等全流程管理，</w:t>
            </w:r>
            <w:r>
              <w:rPr>
                <w:rFonts w:hint="eastAsia" w:ascii="仿宋" w:hAnsi="仿宋" w:eastAsia="仿宋" w:cs="仿宋"/>
                <w:sz w:val="24"/>
                <w:szCs w:val="24"/>
                <w:highlight w:val="none"/>
                <w:lang w:eastAsia="zh-Hans"/>
              </w:rPr>
              <w:t>开展</w:t>
            </w:r>
            <w:r>
              <w:rPr>
                <w:rFonts w:hint="eastAsia" w:ascii="仿宋" w:hAnsi="仿宋" w:eastAsia="仿宋" w:cs="仿宋"/>
                <w:sz w:val="24"/>
                <w:szCs w:val="24"/>
                <w:highlight w:val="none"/>
              </w:rPr>
              <w:t>成本、</w:t>
            </w:r>
            <w:r>
              <w:rPr>
                <w:rFonts w:hint="eastAsia" w:ascii="仿宋" w:hAnsi="仿宋" w:eastAsia="仿宋" w:cs="仿宋"/>
                <w:sz w:val="24"/>
                <w:szCs w:val="24"/>
                <w:highlight w:val="none"/>
                <w:lang w:eastAsia="zh-Hans"/>
              </w:rPr>
              <w:t>质量等方向的</w:t>
            </w:r>
            <w:r>
              <w:rPr>
                <w:rFonts w:hint="eastAsia" w:ascii="仿宋" w:hAnsi="仿宋" w:eastAsia="仿宋" w:cs="仿宋"/>
                <w:sz w:val="24"/>
                <w:szCs w:val="24"/>
                <w:highlight w:val="none"/>
              </w:rPr>
              <w:t>智能算法研究</w:t>
            </w:r>
            <w:r>
              <w:rPr>
                <w:rFonts w:hint="eastAsia" w:ascii="仿宋" w:hAnsi="仿宋" w:eastAsia="仿宋" w:cs="仿宋"/>
                <w:sz w:val="24"/>
                <w:szCs w:val="24"/>
                <w:highlight w:val="none"/>
                <w:lang w:eastAsia="zh-Hans"/>
              </w:rPr>
              <w:t>，</w:t>
            </w:r>
            <w:r>
              <w:rPr>
                <w:rFonts w:hint="eastAsia" w:ascii="仿宋" w:hAnsi="仿宋" w:eastAsia="仿宋" w:cs="仿宋"/>
                <w:sz w:val="24"/>
                <w:szCs w:val="24"/>
                <w:highlight w:val="none"/>
              </w:rPr>
              <w:t>实现电力</w:t>
            </w:r>
            <w:r>
              <w:rPr>
                <w:rFonts w:hint="eastAsia" w:ascii="仿宋" w:hAnsi="仿宋" w:eastAsia="仿宋" w:cs="仿宋"/>
                <w:sz w:val="24"/>
                <w:szCs w:val="24"/>
                <w:highlight w:val="none"/>
                <w:lang w:eastAsia="zh-Hans"/>
              </w:rPr>
              <w:t>设备的全寿命周期指标归集，建立全寿命周期</w:t>
            </w:r>
            <w:r>
              <w:rPr>
                <w:rFonts w:hint="eastAsia" w:ascii="仿宋" w:hAnsi="仿宋" w:eastAsia="仿宋" w:cs="仿宋"/>
                <w:sz w:val="24"/>
                <w:szCs w:val="24"/>
                <w:highlight w:val="none"/>
              </w:rPr>
              <w:t>成本</w:t>
            </w:r>
            <w:r>
              <w:rPr>
                <w:rFonts w:hint="eastAsia" w:ascii="仿宋" w:hAnsi="仿宋" w:eastAsia="仿宋" w:cs="仿宋"/>
                <w:sz w:val="24"/>
                <w:szCs w:val="24"/>
                <w:highlight w:val="none"/>
                <w:lang w:eastAsia="zh-Hans"/>
              </w:rPr>
              <w:t>招标</w:t>
            </w:r>
            <w:r>
              <w:rPr>
                <w:rFonts w:hint="eastAsia" w:ascii="仿宋" w:hAnsi="仿宋" w:eastAsia="仿宋" w:cs="仿宋"/>
                <w:sz w:val="24"/>
                <w:szCs w:val="24"/>
                <w:highlight w:val="none"/>
              </w:rPr>
              <w:t>算法</w:t>
            </w:r>
            <w:r>
              <w:rPr>
                <w:rFonts w:hint="eastAsia" w:ascii="仿宋" w:hAnsi="仿宋" w:eastAsia="仿宋" w:cs="仿宋"/>
                <w:sz w:val="24"/>
                <w:szCs w:val="24"/>
                <w:highlight w:val="none"/>
                <w:lang w:eastAsia="zh-Hans"/>
              </w:rPr>
              <w:t>、</w:t>
            </w:r>
            <w:r>
              <w:rPr>
                <w:rFonts w:hint="eastAsia" w:ascii="仿宋" w:hAnsi="仿宋" w:eastAsia="仿宋" w:cs="仿宋"/>
                <w:sz w:val="24"/>
                <w:szCs w:val="24"/>
                <w:highlight w:val="none"/>
              </w:rPr>
              <w:t>电力设备</w:t>
            </w:r>
            <w:r>
              <w:rPr>
                <w:rFonts w:hint="eastAsia" w:ascii="仿宋" w:hAnsi="仿宋" w:eastAsia="仿宋" w:cs="仿宋"/>
                <w:sz w:val="24"/>
                <w:szCs w:val="24"/>
                <w:highlight w:val="none"/>
                <w:lang w:eastAsia="zh-Hans"/>
              </w:rPr>
              <w:t>质量改进</w:t>
            </w:r>
            <w:r>
              <w:rPr>
                <w:rFonts w:hint="eastAsia" w:ascii="仿宋" w:hAnsi="仿宋" w:eastAsia="仿宋" w:cs="仿宋"/>
                <w:sz w:val="24"/>
                <w:szCs w:val="24"/>
                <w:highlight w:val="none"/>
              </w:rPr>
              <w:t>算法</w:t>
            </w:r>
            <w:r>
              <w:rPr>
                <w:rFonts w:hint="eastAsia" w:ascii="仿宋" w:hAnsi="仿宋" w:eastAsia="仿宋" w:cs="仿宋"/>
                <w:sz w:val="24"/>
                <w:szCs w:val="24"/>
                <w:highlight w:val="none"/>
                <w:lang w:eastAsia="zh-Hans"/>
              </w:rPr>
              <w:t>等。</w:t>
            </w:r>
          </w:p>
        </w:tc>
        <w:tc>
          <w:tcPr>
            <w:tcW w:w="646"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w:t>
            </w:r>
          </w:p>
        </w:tc>
        <w:tc>
          <w:tcPr>
            <w:tcW w:w="471"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p>
        </w:tc>
        <w:tc>
          <w:tcPr>
            <w:tcW w:w="988" w:type="dxa"/>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合同签订后</w:t>
            </w:r>
            <w:r>
              <w:rPr>
                <w:rFonts w:hint="eastAsia" w:ascii="仿宋" w:hAnsi="仿宋" w:eastAsia="仿宋" w:cs="仿宋"/>
                <w:sz w:val="24"/>
                <w:szCs w:val="24"/>
                <w:highlight w:val="none"/>
                <w:lang w:val="en-US" w:eastAsia="zh-CN"/>
              </w:rPr>
              <w:t>60</w:t>
            </w:r>
            <w:r>
              <w:rPr>
                <w:rFonts w:hint="eastAsia" w:ascii="仿宋" w:hAnsi="仿宋" w:eastAsia="仿宋" w:cs="仿宋"/>
                <w:sz w:val="24"/>
                <w:szCs w:val="24"/>
                <w:highlight w:val="none"/>
              </w:rPr>
              <w:t>日内</w:t>
            </w:r>
          </w:p>
        </w:tc>
        <w:tc>
          <w:tcPr>
            <w:tcW w:w="978" w:type="dxa"/>
            <w:shd w:val="clear" w:color="auto" w:fill="auto"/>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1年</w:t>
            </w:r>
          </w:p>
        </w:tc>
        <w:tc>
          <w:tcPr>
            <w:tcW w:w="1486"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607"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326" w:type="dxa"/>
            <w:vMerge w:val="continue"/>
            <w:shd w:val="clear" w:color="auto" w:fill="auto"/>
            <w:vAlign w:val="center"/>
          </w:tcPr>
          <w:p>
            <w:pPr>
              <w:jc w:val="center"/>
              <w:rPr>
                <w:rFonts w:hint="eastAsia" w:ascii="仿宋" w:hAnsi="仿宋" w:eastAsia="仿宋" w:cs="仿宋"/>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jc w:val="center"/>
        </w:trPr>
        <w:tc>
          <w:tcPr>
            <w:tcW w:w="824" w:type="dxa"/>
            <w:vMerge w:val="continue"/>
            <w:vAlign w:val="center"/>
          </w:tcPr>
          <w:p>
            <w:pPr>
              <w:widowControl/>
              <w:jc w:val="center"/>
              <w:rPr>
                <w:rFonts w:hint="eastAsia" w:ascii="仿宋" w:hAnsi="仿宋" w:eastAsia="仿宋" w:cs="仿宋"/>
                <w:kern w:val="0"/>
                <w:sz w:val="24"/>
                <w:szCs w:val="24"/>
                <w:highlight w:val="none"/>
              </w:rPr>
            </w:pPr>
          </w:p>
        </w:tc>
        <w:tc>
          <w:tcPr>
            <w:tcW w:w="895" w:type="dxa"/>
            <w:shd w:val="clear" w:color="auto" w:fill="auto"/>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拓展服务分析研究</w:t>
            </w:r>
          </w:p>
        </w:tc>
        <w:tc>
          <w:tcPr>
            <w:tcW w:w="5409" w:type="dxa"/>
            <w:shd w:val="clear" w:color="auto" w:fill="auto"/>
            <w:vAlign w:val="center"/>
          </w:tcPr>
          <w:p>
            <w:pPr>
              <w:rPr>
                <w:rFonts w:hint="eastAsia" w:ascii="仿宋" w:hAnsi="仿宋" w:eastAsia="仿宋" w:cs="仿宋"/>
                <w:sz w:val="24"/>
                <w:szCs w:val="24"/>
                <w:highlight w:val="none"/>
                <w:lang w:eastAsia="zh-Hans"/>
              </w:rPr>
            </w:pPr>
            <w:r>
              <w:rPr>
                <w:rFonts w:hint="eastAsia" w:ascii="仿宋" w:hAnsi="仿宋" w:eastAsia="仿宋" w:cs="仿宋"/>
                <w:sz w:val="24"/>
                <w:szCs w:val="24"/>
                <w:highlight w:val="none"/>
                <w:lang w:eastAsia="zh-Hans"/>
              </w:rPr>
              <w:t>基于目前</w:t>
            </w:r>
            <w:r>
              <w:rPr>
                <w:rFonts w:hint="eastAsia" w:ascii="仿宋" w:hAnsi="仿宋" w:eastAsia="仿宋" w:cs="仿宋"/>
                <w:sz w:val="24"/>
                <w:szCs w:val="24"/>
                <w:highlight w:val="none"/>
              </w:rPr>
              <w:t>一码贯通</w:t>
            </w:r>
            <w:r>
              <w:rPr>
                <w:rFonts w:hint="eastAsia" w:ascii="仿宋" w:hAnsi="仿宋" w:eastAsia="仿宋" w:cs="仿宋"/>
                <w:sz w:val="24"/>
                <w:szCs w:val="24"/>
                <w:highlight w:val="none"/>
                <w:lang w:eastAsia="zh-Hans"/>
              </w:rPr>
              <w:t>在各环节的应用情况进行梳理，针对招标采购、质量</w:t>
            </w:r>
            <w:r>
              <w:rPr>
                <w:rFonts w:hint="eastAsia" w:ascii="仿宋" w:hAnsi="仿宋" w:eastAsia="仿宋" w:cs="仿宋"/>
                <w:sz w:val="24"/>
                <w:szCs w:val="24"/>
                <w:highlight w:val="none"/>
              </w:rPr>
              <w:t>反馈</w:t>
            </w:r>
            <w:r>
              <w:rPr>
                <w:rFonts w:hint="eastAsia" w:ascii="仿宋" w:hAnsi="仿宋" w:eastAsia="仿宋" w:cs="仿宋"/>
                <w:sz w:val="24"/>
                <w:szCs w:val="24"/>
                <w:highlight w:val="none"/>
                <w:lang w:eastAsia="zh-Hans"/>
              </w:rPr>
              <w:t>、库存定额、闲置提醒等方面，分别提出</w:t>
            </w:r>
            <w:r>
              <w:rPr>
                <w:rFonts w:hint="eastAsia" w:ascii="仿宋" w:hAnsi="仿宋" w:eastAsia="仿宋" w:cs="仿宋"/>
                <w:sz w:val="24"/>
                <w:szCs w:val="24"/>
                <w:highlight w:val="none"/>
              </w:rPr>
              <w:t>应对不同需求</w:t>
            </w:r>
            <w:r>
              <w:rPr>
                <w:rFonts w:hint="eastAsia" w:ascii="仿宋" w:hAnsi="仿宋" w:eastAsia="仿宋" w:cs="仿宋"/>
                <w:sz w:val="24"/>
                <w:szCs w:val="24"/>
                <w:highlight w:val="none"/>
                <w:lang w:eastAsia="zh-Hans"/>
              </w:rPr>
              <w:t>的服务类型</w:t>
            </w:r>
            <w:r>
              <w:rPr>
                <w:rFonts w:hint="eastAsia" w:ascii="仿宋" w:hAnsi="仿宋" w:eastAsia="仿宋" w:cs="仿宋"/>
                <w:sz w:val="24"/>
                <w:szCs w:val="24"/>
                <w:highlight w:val="none"/>
              </w:rPr>
              <w:t>拓展应用，分别达到提升设备管理的标准化程度、数据化</w:t>
            </w:r>
            <w:r>
              <w:rPr>
                <w:rFonts w:hint="eastAsia" w:ascii="仿宋" w:hAnsi="仿宋" w:eastAsia="仿宋" w:cs="仿宋"/>
                <w:sz w:val="24"/>
                <w:szCs w:val="24"/>
                <w:highlight w:val="none"/>
                <w:lang w:eastAsia="zh-Hans"/>
              </w:rPr>
              <w:t>辨别供应商能力</w:t>
            </w:r>
            <w:r>
              <w:rPr>
                <w:rFonts w:hint="eastAsia" w:ascii="仿宋" w:hAnsi="仿宋" w:eastAsia="仿宋" w:cs="仿宋"/>
                <w:sz w:val="24"/>
                <w:szCs w:val="24"/>
                <w:highlight w:val="none"/>
              </w:rPr>
              <w:t>、指导基层科学制定储备定额、</w:t>
            </w:r>
            <w:r>
              <w:rPr>
                <w:rFonts w:hint="eastAsia" w:ascii="仿宋" w:hAnsi="仿宋" w:eastAsia="仿宋" w:cs="仿宋"/>
                <w:sz w:val="24"/>
                <w:szCs w:val="24"/>
                <w:highlight w:val="none"/>
                <w:lang w:eastAsia="zh-Hans"/>
              </w:rPr>
              <w:t>推进</w:t>
            </w:r>
            <w:r>
              <w:rPr>
                <w:rFonts w:hint="eastAsia" w:ascii="仿宋" w:hAnsi="仿宋" w:eastAsia="仿宋" w:cs="仿宋"/>
                <w:sz w:val="24"/>
                <w:szCs w:val="24"/>
                <w:highlight w:val="none"/>
              </w:rPr>
              <w:t>全流程电力设备</w:t>
            </w:r>
            <w:r>
              <w:rPr>
                <w:rFonts w:hint="eastAsia" w:ascii="仿宋" w:hAnsi="仿宋" w:eastAsia="仿宋" w:cs="仿宋"/>
                <w:sz w:val="24"/>
                <w:szCs w:val="24"/>
                <w:highlight w:val="none"/>
                <w:lang w:eastAsia="zh-Hans"/>
              </w:rPr>
              <w:t>的</w:t>
            </w:r>
            <w:r>
              <w:rPr>
                <w:rFonts w:hint="eastAsia" w:ascii="仿宋" w:hAnsi="仿宋" w:eastAsia="仿宋" w:cs="仿宋"/>
                <w:sz w:val="24"/>
                <w:szCs w:val="24"/>
                <w:highlight w:val="none"/>
              </w:rPr>
              <w:t>科学</w:t>
            </w:r>
            <w:r>
              <w:rPr>
                <w:rFonts w:hint="eastAsia" w:ascii="仿宋" w:hAnsi="仿宋" w:eastAsia="仿宋" w:cs="仿宋"/>
                <w:sz w:val="24"/>
                <w:szCs w:val="24"/>
                <w:highlight w:val="none"/>
                <w:lang w:eastAsia="zh-Hans"/>
              </w:rPr>
              <w:t>管理</w:t>
            </w:r>
            <w:r>
              <w:rPr>
                <w:rFonts w:hint="eastAsia" w:ascii="仿宋" w:hAnsi="仿宋" w:eastAsia="仿宋" w:cs="仿宋"/>
                <w:sz w:val="24"/>
                <w:szCs w:val="24"/>
                <w:highlight w:val="none"/>
              </w:rPr>
              <w:t>的要求</w:t>
            </w:r>
            <w:r>
              <w:rPr>
                <w:rFonts w:hint="eastAsia" w:ascii="仿宋" w:hAnsi="仿宋" w:eastAsia="仿宋" w:cs="仿宋"/>
                <w:sz w:val="24"/>
                <w:szCs w:val="24"/>
                <w:highlight w:val="none"/>
                <w:lang w:eastAsia="zh-Hans"/>
              </w:rPr>
              <w:t>。</w:t>
            </w:r>
          </w:p>
        </w:tc>
        <w:tc>
          <w:tcPr>
            <w:tcW w:w="646"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w:t>
            </w:r>
          </w:p>
        </w:tc>
        <w:tc>
          <w:tcPr>
            <w:tcW w:w="471"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p>
        </w:tc>
        <w:tc>
          <w:tcPr>
            <w:tcW w:w="988" w:type="dxa"/>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合同签订后</w:t>
            </w:r>
            <w:r>
              <w:rPr>
                <w:rFonts w:hint="eastAsia" w:ascii="仿宋" w:hAnsi="仿宋" w:eastAsia="仿宋" w:cs="仿宋"/>
                <w:sz w:val="24"/>
                <w:szCs w:val="24"/>
                <w:highlight w:val="none"/>
                <w:lang w:val="en-US" w:eastAsia="zh-CN"/>
              </w:rPr>
              <w:t>60</w:t>
            </w:r>
            <w:r>
              <w:rPr>
                <w:rFonts w:hint="eastAsia" w:ascii="仿宋" w:hAnsi="仿宋" w:eastAsia="仿宋" w:cs="仿宋"/>
                <w:sz w:val="24"/>
                <w:szCs w:val="24"/>
                <w:highlight w:val="none"/>
              </w:rPr>
              <w:t>日内</w:t>
            </w:r>
          </w:p>
        </w:tc>
        <w:tc>
          <w:tcPr>
            <w:tcW w:w="978" w:type="dxa"/>
            <w:shd w:val="clear" w:color="auto" w:fill="auto"/>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1年</w:t>
            </w:r>
          </w:p>
        </w:tc>
        <w:tc>
          <w:tcPr>
            <w:tcW w:w="1486"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607"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326" w:type="dxa"/>
            <w:vMerge w:val="continue"/>
            <w:shd w:val="clear" w:color="auto" w:fill="auto"/>
            <w:vAlign w:val="center"/>
          </w:tcPr>
          <w:p>
            <w:pPr>
              <w:jc w:val="center"/>
              <w:rPr>
                <w:rFonts w:hint="eastAsia" w:ascii="仿宋" w:hAnsi="仿宋" w:eastAsia="仿宋" w:cs="仿宋"/>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824" w:type="dxa"/>
            <w:vMerge w:val="continue"/>
            <w:vAlign w:val="center"/>
          </w:tcPr>
          <w:p>
            <w:pPr>
              <w:widowControl/>
              <w:jc w:val="center"/>
              <w:rPr>
                <w:rFonts w:hint="eastAsia" w:ascii="仿宋" w:hAnsi="仿宋" w:eastAsia="仿宋" w:cs="仿宋"/>
                <w:kern w:val="0"/>
                <w:sz w:val="24"/>
                <w:szCs w:val="24"/>
                <w:highlight w:val="none"/>
              </w:rPr>
            </w:pPr>
          </w:p>
        </w:tc>
        <w:tc>
          <w:tcPr>
            <w:tcW w:w="895" w:type="dxa"/>
            <w:shd w:val="clear" w:color="auto" w:fill="auto"/>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供应链业务与数据关系梳理</w:t>
            </w:r>
          </w:p>
        </w:tc>
        <w:tc>
          <w:tcPr>
            <w:tcW w:w="5409" w:type="dxa"/>
            <w:shd w:val="clear" w:color="auto" w:fill="auto"/>
            <w:vAlign w:val="center"/>
          </w:tcPr>
          <w:p>
            <w:pPr>
              <w:widowControl/>
              <w:jc w:val="left"/>
              <w:rPr>
                <w:rFonts w:hint="eastAsia" w:ascii="仿宋" w:hAnsi="仿宋" w:eastAsia="仿宋" w:cs="仿宋"/>
                <w:kern w:val="0"/>
                <w:sz w:val="24"/>
                <w:szCs w:val="24"/>
                <w:highlight w:val="none"/>
                <w:lang w:eastAsia="zh-Hans"/>
              </w:rPr>
            </w:pPr>
            <w:r>
              <w:rPr>
                <w:rFonts w:hint="eastAsia" w:ascii="仿宋" w:hAnsi="仿宋" w:eastAsia="仿宋" w:cs="仿宋"/>
                <w:kern w:val="0"/>
                <w:sz w:val="24"/>
                <w:szCs w:val="24"/>
                <w:highlight w:val="none"/>
              </w:rPr>
              <w:t>构建业务环节与数据间的流转关系图，通过业务环节流转框架设计、业务字段框架设计、业务系统映射关系图设计，明确业务范围，创新数据流分解模式，融合业务与数据依存关系，帮助前端业务及时响应关系变动情况。</w:t>
            </w:r>
          </w:p>
        </w:tc>
        <w:tc>
          <w:tcPr>
            <w:tcW w:w="646"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w:t>
            </w:r>
          </w:p>
        </w:tc>
        <w:tc>
          <w:tcPr>
            <w:tcW w:w="471" w:type="dxa"/>
            <w:shd w:val="clear" w:color="000000" w:fill="FFFFFF"/>
            <w:vAlign w:val="center"/>
          </w:tcPr>
          <w:p>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p>
        </w:tc>
        <w:tc>
          <w:tcPr>
            <w:tcW w:w="988" w:type="dxa"/>
            <w:shd w:val="clear" w:color="auto" w:fill="auto"/>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合同签订后</w:t>
            </w:r>
            <w:r>
              <w:rPr>
                <w:rFonts w:hint="eastAsia" w:ascii="仿宋" w:hAnsi="仿宋" w:eastAsia="仿宋" w:cs="仿宋"/>
                <w:sz w:val="24"/>
                <w:szCs w:val="24"/>
                <w:highlight w:val="none"/>
                <w:lang w:val="en-US" w:eastAsia="zh-CN"/>
              </w:rPr>
              <w:t>60</w:t>
            </w:r>
            <w:r>
              <w:rPr>
                <w:rFonts w:hint="eastAsia" w:ascii="仿宋" w:hAnsi="仿宋" w:eastAsia="仿宋" w:cs="仿宋"/>
                <w:sz w:val="24"/>
                <w:szCs w:val="24"/>
                <w:highlight w:val="none"/>
              </w:rPr>
              <w:t>日内</w:t>
            </w:r>
          </w:p>
        </w:tc>
        <w:tc>
          <w:tcPr>
            <w:tcW w:w="978" w:type="dxa"/>
            <w:shd w:val="clear" w:color="auto" w:fill="auto"/>
            <w:vAlign w:val="center"/>
          </w:tcPr>
          <w:p>
            <w:pPr>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1年</w:t>
            </w:r>
          </w:p>
        </w:tc>
        <w:tc>
          <w:tcPr>
            <w:tcW w:w="1486"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607" w:type="dxa"/>
            <w:vMerge w:val="continue"/>
            <w:shd w:val="clear" w:color="auto" w:fill="auto"/>
            <w:vAlign w:val="center"/>
          </w:tcPr>
          <w:p>
            <w:pPr>
              <w:jc w:val="center"/>
              <w:rPr>
                <w:rFonts w:hint="eastAsia" w:ascii="仿宋" w:hAnsi="仿宋" w:eastAsia="仿宋" w:cs="仿宋"/>
                <w:kern w:val="0"/>
                <w:sz w:val="24"/>
                <w:szCs w:val="24"/>
                <w:highlight w:val="none"/>
              </w:rPr>
            </w:pPr>
          </w:p>
        </w:tc>
        <w:tc>
          <w:tcPr>
            <w:tcW w:w="1326" w:type="dxa"/>
            <w:vMerge w:val="continue"/>
            <w:shd w:val="clear" w:color="auto" w:fill="auto"/>
            <w:vAlign w:val="center"/>
          </w:tcPr>
          <w:p>
            <w:pPr>
              <w:jc w:val="center"/>
              <w:rPr>
                <w:rFonts w:hint="eastAsia" w:ascii="仿宋" w:hAnsi="仿宋" w:eastAsia="仿宋" w:cs="仿宋"/>
                <w:kern w:val="0"/>
                <w:sz w:val="24"/>
                <w:szCs w:val="24"/>
                <w:highlight w:val="none"/>
              </w:rPr>
            </w:pPr>
          </w:p>
        </w:tc>
      </w:tr>
      <w:bookmarkEnd w:id="0"/>
    </w:tbl>
    <w:p>
      <w:pP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具体服务不局限于上述需求一览表。应包括上述服务相关延伸服务及产品，类似升级服务及相关产品。</w:t>
      </w:r>
    </w:p>
    <w:p>
      <w:pP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本项目产生的相关知识产权，甲方拥有相应权利。</w:t>
      </w:r>
    </w:p>
    <w:p>
      <w:pP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p>
      <w:pPr>
        <w:rPr>
          <w:rFonts w:hint="eastAsia" w:ascii="仿宋" w:hAnsi="仿宋" w:eastAsia="仿宋" w:cs="仿宋"/>
          <w:sz w:val="24"/>
          <w:szCs w:val="24"/>
          <w:highlight w:val="none"/>
        </w:rPr>
      </w:pPr>
      <w:r>
        <w:rPr>
          <w:rFonts w:hint="eastAsia" w:ascii="仿宋" w:hAnsi="仿宋" w:eastAsia="仿宋" w:cs="仿宋"/>
          <w:sz w:val="24"/>
          <w:szCs w:val="24"/>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rPr>
          <w:rFonts w:hint="eastAsia" w:ascii="仿宋" w:hAnsi="仿宋" w:eastAsia="仿宋" w:cs="仿宋"/>
          <w:highlight w:val="none"/>
        </w:rPr>
      </w:pPr>
      <w:r>
        <w:rPr>
          <w:rFonts w:hint="eastAsia" w:ascii="仿宋" w:hAnsi="仿宋" w:eastAsia="仿宋" w:cs="仿宋"/>
          <w:sz w:val="24"/>
          <w:szCs w:val="24"/>
          <w:highlight w:val="none"/>
        </w:rPr>
        <w:t>2.投标文件中提供的证明材料复印件应复印清晰、可辨认且不得遮盖、涂抹，否则视为无效。</w:t>
      </w:r>
    </w:p>
    <w:sectPr>
      <w:footerReference r:id="rId3" w:type="default"/>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b/>
        <w:sz w:val="24"/>
        <w:szCs w:val="24"/>
      </w:rPr>
      <w:fldChar w:fldCharType="begin"/>
    </w:r>
    <w:r>
      <w:rPr>
        <w:b/>
      </w:rPr>
      <w:instrText xml:space="preserve">PAGE</w:instrText>
    </w:r>
    <w:r>
      <w:rPr>
        <w:b/>
        <w:sz w:val="24"/>
        <w:szCs w:val="24"/>
      </w:rPr>
      <w:fldChar w:fldCharType="separate"/>
    </w:r>
    <w:r>
      <w:rPr>
        <w:b/>
      </w:rPr>
      <w:t>6</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6</w:t>
    </w:r>
    <w:r>
      <w:rPr>
        <w:b/>
        <w:sz w:val="24"/>
        <w:szCs w:val="24"/>
      </w:rPr>
      <w:fldChar w:fldCharType="end"/>
    </w:r>
  </w:p>
  <w:p>
    <w:pPr>
      <w:pStyle w:val="5"/>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EwYTIzN2Q1ZWM3OWJhMGNlM2Q1MDUxMDhmY2ZmZGUifQ=="/>
  </w:docVars>
  <w:rsids>
    <w:rsidRoot w:val="00F07759"/>
    <w:rsid w:val="00087175"/>
    <w:rsid w:val="000E5393"/>
    <w:rsid w:val="00127753"/>
    <w:rsid w:val="001A2D7D"/>
    <w:rsid w:val="001A7EC4"/>
    <w:rsid w:val="001E6907"/>
    <w:rsid w:val="00294ED8"/>
    <w:rsid w:val="003359FD"/>
    <w:rsid w:val="00385E05"/>
    <w:rsid w:val="0040005E"/>
    <w:rsid w:val="00424F24"/>
    <w:rsid w:val="00442C7F"/>
    <w:rsid w:val="004870F5"/>
    <w:rsid w:val="004D392E"/>
    <w:rsid w:val="00504B46"/>
    <w:rsid w:val="00617E09"/>
    <w:rsid w:val="0066333F"/>
    <w:rsid w:val="006D7DD1"/>
    <w:rsid w:val="006F7A5B"/>
    <w:rsid w:val="00750353"/>
    <w:rsid w:val="00787BCF"/>
    <w:rsid w:val="00824FC9"/>
    <w:rsid w:val="00831AA6"/>
    <w:rsid w:val="008C6072"/>
    <w:rsid w:val="009009E1"/>
    <w:rsid w:val="0097230A"/>
    <w:rsid w:val="009B4864"/>
    <w:rsid w:val="00A833A8"/>
    <w:rsid w:val="00AD036A"/>
    <w:rsid w:val="00AE02E9"/>
    <w:rsid w:val="00AE38F5"/>
    <w:rsid w:val="00B83C31"/>
    <w:rsid w:val="00C035AE"/>
    <w:rsid w:val="00C96F18"/>
    <w:rsid w:val="00CF632D"/>
    <w:rsid w:val="00DA120B"/>
    <w:rsid w:val="00DE53A1"/>
    <w:rsid w:val="00EA2389"/>
    <w:rsid w:val="00F05C60"/>
    <w:rsid w:val="00F06270"/>
    <w:rsid w:val="00F07759"/>
    <w:rsid w:val="00F74A14"/>
    <w:rsid w:val="012208A0"/>
    <w:rsid w:val="013B39D5"/>
    <w:rsid w:val="01B506E8"/>
    <w:rsid w:val="02381A41"/>
    <w:rsid w:val="024E0501"/>
    <w:rsid w:val="042B3D4F"/>
    <w:rsid w:val="043F1029"/>
    <w:rsid w:val="046D3D86"/>
    <w:rsid w:val="04E72BB1"/>
    <w:rsid w:val="05CA21F9"/>
    <w:rsid w:val="05D654CD"/>
    <w:rsid w:val="06CD2089"/>
    <w:rsid w:val="07E40D99"/>
    <w:rsid w:val="089F25C6"/>
    <w:rsid w:val="09002B02"/>
    <w:rsid w:val="0961311E"/>
    <w:rsid w:val="0AF34D05"/>
    <w:rsid w:val="0B42259C"/>
    <w:rsid w:val="0B6B6322"/>
    <w:rsid w:val="0C6745F0"/>
    <w:rsid w:val="0C6B6663"/>
    <w:rsid w:val="0CD22C69"/>
    <w:rsid w:val="0D0269A1"/>
    <w:rsid w:val="0D7E729B"/>
    <w:rsid w:val="0F2E4A6E"/>
    <w:rsid w:val="0F6D0760"/>
    <w:rsid w:val="0F8A7B0F"/>
    <w:rsid w:val="10002197"/>
    <w:rsid w:val="101073BE"/>
    <w:rsid w:val="106629F6"/>
    <w:rsid w:val="108D7E4D"/>
    <w:rsid w:val="109825F0"/>
    <w:rsid w:val="10DC408D"/>
    <w:rsid w:val="12065612"/>
    <w:rsid w:val="121F3C87"/>
    <w:rsid w:val="136366BA"/>
    <w:rsid w:val="1395152B"/>
    <w:rsid w:val="14263A91"/>
    <w:rsid w:val="14DD7437"/>
    <w:rsid w:val="14E7063D"/>
    <w:rsid w:val="14ED5535"/>
    <w:rsid w:val="152109A0"/>
    <w:rsid w:val="15D93023"/>
    <w:rsid w:val="15DE5ED6"/>
    <w:rsid w:val="164C4D8E"/>
    <w:rsid w:val="172C17A9"/>
    <w:rsid w:val="179A6928"/>
    <w:rsid w:val="17A97DE2"/>
    <w:rsid w:val="17DB5B4C"/>
    <w:rsid w:val="187022FD"/>
    <w:rsid w:val="18EA3261"/>
    <w:rsid w:val="18FD3F6F"/>
    <w:rsid w:val="19096657"/>
    <w:rsid w:val="19A5125A"/>
    <w:rsid w:val="1A2D70B4"/>
    <w:rsid w:val="1A306F84"/>
    <w:rsid w:val="1A833EC2"/>
    <w:rsid w:val="1ABB017E"/>
    <w:rsid w:val="1B75596D"/>
    <w:rsid w:val="1B8062A2"/>
    <w:rsid w:val="1CD62B36"/>
    <w:rsid w:val="1CE21F90"/>
    <w:rsid w:val="1DAE7DCF"/>
    <w:rsid w:val="1E1038E4"/>
    <w:rsid w:val="1E9820B0"/>
    <w:rsid w:val="1EFA5CD2"/>
    <w:rsid w:val="1F3969C0"/>
    <w:rsid w:val="1F4262AB"/>
    <w:rsid w:val="1F5A0740"/>
    <w:rsid w:val="206378E1"/>
    <w:rsid w:val="20AC270D"/>
    <w:rsid w:val="20AF1FA9"/>
    <w:rsid w:val="211F423F"/>
    <w:rsid w:val="217D69B9"/>
    <w:rsid w:val="219C4862"/>
    <w:rsid w:val="22343EB9"/>
    <w:rsid w:val="22901FF9"/>
    <w:rsid w:val="2299232C"/>
    <w:rsid w:val="22F0607C"/>
    <w:rsid w:val="233D2C3A"/>
    <w:rsid w:val="23492DD2"/>
    <w:rsid w:val="23804CB9"/>
    <w:rsid w:val="23A60508"/>
    <w:rsid w:val="24401449"/>
    <w:rsid w:val="25353F86"/>
    <w:rsid w:val="253B43C5"/>
    <w:rsid w:val="2634607D"/>
    <w:rsid w:val="2671336B"/>
    <w:rsid w:val="27025F5B"/>
    <w:rsid w:val="2761134E"/>
    <w:rsid w:val="28185678"/>
    <w:rsid w:val="28443B5F"/>
    <w:rsid w:val="28C65CBE"/>
    <w:rsid w:val="28C860F7"/>
    <w:rsid w:val="29375116"/>
    <w:rsid w:val="298C5094"/>
    <w:rsid w:val="29B70890"/>
    <w:rsid w:val="29D16594"/>
    <w:rsid w:val="29FD2DF1"/>
    <w:rsid w:val="2A205B87"/>
    <w:rsid w:val="2A224219"/>
    <w:rsid w:val="2AF30D64"/>
    <w:rsid w:val="2B572B47"/>
    <w:rsid w:val="2B8C730A"/>
    <w:rsid w:val="2CAB1F8D"/>
    <w:rsid w:val="2DFF4C45"/>
    <w:rsid w:val="2E0C1AB8"/>
    <w:rsid w:val="2E2D7AE9"/>
    <w:rsid w:val="2E3D58F0"/>
    <w:rsid w:val="2F380C61"/>
    <w:rsid w:val="2FB322B7"/>
    <w:rsid w:val="2FC84E3A"/>
    <w:rsid w:val="30F85AFE"/>
    <w:rsid w:val="31A61791"/>
    <w:rsid w:val="31C56881"/>
    <w:rsid w:val="31D73940"/>
    <w:rsid w:val="33B10D29"/>
    <w:rsid w:val="34766267"/>
    <w:rsid w:val="351A272F"/>
    <w:rsid w:val="353C01A6"/>
    <w:rsid w:val="354B38AC"/>
    <w:rsid w:val="355A3E14"/>
    <w:rsid w:val="35E05426"/>
    <w:rsid w:val="371E6BD6"/>
    <w:rsid w:val="37685518"/>
    <w:rsid w:val="37775DB9"/>
    <w:rsid w:val="391D3D61"/>
    <w:rsid w:val="395150CA"/>
    <w:rsid w:val="3A8D15F7"/>
    <w:rsid w:val="3B245E62"/>
    <w:rsid w:val="3B8E718B"/>
    <w:rsid w:val="3B940012"/>
    <w:rsid w:val="3BA02539"/>
    <w:rsid w:val="3BD715E3"/>
    <w:rsid w:val="3D6101B3"/>
    <w:rsid w:val="3DAA36C5"/>
    <w:rsid w:val="3EE50E13"/>
    <w:rsid w:val="3F506B7A"/>
    <w:rsid w:val="3FA45657"/>
    <w:rsid w:val="3FC424E1"/>
    <w:rsid w:val="40494590"/>
    <w:rsid w:val="404B3A6E"/>
    <w:rsid w:val="40687B37"/>
    <w:rsid w:val="40884242"/>
    <w:rsid w:val="40950B98"/>
    <w:rsid w:val="40CF0912"/>
    <w:rsid w:val="414D39CE"/>
    <w:rsid w:val="41D73C80"/>
    <w:rsid w:val="431C5F81"/>
    <w:rsid w:val="43225F59"/>
    <w:rsid w:val="43426EC1"/>
    <w:rsid w:val="4369452A"/>
    <w:rsid w:val="438644AA"/>
    <w:rsid w:val="43CA7942"/>
    <w:rsid w:val="44151069"/>
    <w:rsid w:val="45071372"/>
    <w:rsid w:val="451F48EE"/>
    <w:rsid w:val="454F66D8"/>
    <w:rsid w:val="4558609E"/>
    <w:rsid w:val="457A2E3A"/>
    <w:rsid w:val="45855E35"/>
    <w:rsid w:val="45F31230"/>
    <w:rsid w:val="464F52D7"/>
    <w:rsid w:val="46E46B3F"/>
    <w:rsid w:val="47111A67"/>
    <w:rsid w:val="479478A0"/>
    <w:rsid w:val="49375E89"/>
    <w:rsid w:val="49E00010"/>
    <w:rsid w:val="4AE25091"/>
    <w:rsid w:val="4B991A97"/>
    <w:rsid w:val="4BE1690E"/>
    <w:rsid w:val="4C024CD6"/>
    <w:rsid w:val="4DE507C2"/>
    <w:rsid w:val="4E39053A"/>
    <w:rsid w:val="4F664640"/>
    <w:rsid w:val="4FB764FC"/>
    <w:rsid w:val="503E2A09"/>
    <w:rsid w:val="504E07CA"/>
    <w:rsid w:val="505912F5"/>
    <w:rsid w:val="50637B38"/>
    <w:rsid w:val="506C051D"/>
    <w:rsid w:val="50F316BC"/>
    <w:rsid w:val="527E4FBE"/>
    <w:rsid w:val="534B5D10"/>
    <w:rsid w:val="551A14A5"/>
    <w:rsid w:val="55FD043C"/>
    <w:rsid w:val="56BF5AA4"/>
    <w:rsid w:val="571B1C31"/>
    <w:rsid w:val="57C03084"/>
    <w:rsid w:val="57C2358D"/>
    <w:rsid w:val="585F7DC6"/>
    <w:rsid w:val="59064B47"/>
    <w:rsid w:val="5A1C5082"/>
    <w:rsid w:val="5A6C6EC0"/>
    <w:rsid w:val="5AA159FD"/>
    <w:rsid w:val="5AB31E7E"/>
    <w:rsid w:val="5AC9471C"/>
    <w:rsid w:val="5B31153A"/>
    <w:rsid w:val="5B424D5F"/>
    <w:rsid w:val="5B49165D"/>
    <w:rsid w:val="5B8A1302"/>
    <w:rsid w:val="5C386706"/>
    <w:rsid w:val="5C837F8B"/>
    <w:rsid w:val="5C8A31FB"/>
    <w:rsid w:val="5D245AC0"/>
    <w:rsid w:val="5DCD6ED7"/>
    <w:rsid w:val="5DF94D6D"/>
    <w:rsid w:val="5E12718B"/>
    <w:rsid w:val="5F4D0687"/>
    <w:rsid w:val="5F516D76"/>
    <w:rsid w:val="5FD6125D"/>
    <w:rsid w:val="60602346"/>
    <w:rsid w:val="60C1653D"/>
    <w:rsid w:val="61032FD2"/>
    <w:rsid w:val="61390A98"/>
    <w:rsid w:val="619F774C"/>
    <w:rsid w:val="625A0266"/>
    <w:rsid w:val="626B719B"/>
    <w:rsid w:val="62744A27"/>
    <w:rsid w:val="630C2E3C"/>
    <w:rsid w:val="635F160D"/>
    <w:rsid w:val="639C3A88"/>
    <w:rsid w:val="641106C5"/>
    <w:rsid w:val="648A5168"/>
    <w:rsid w:val="65722563"/>
    <w:rsid w:val="660A1885"/>
    <w:rsid w:val="66E74C08"/>
    <w:rsid w:val="67A46833"/>
    <w:rsid w:val="6864098F"/>
    <w:rsid w:val="68A6679F"/>
    <w:rsid w:val="68A9611A"/>
    <w:rsid w:val="6943445A"/>
    <w:rsid w:val="69E947AF"/>
    <w:rsid w:val="6A77304C"/>
    <w:rsid w:val="6A8C16D9"/>
    <w:rsid w:val="6AF532DC"/>
    <w:rsid w:val="6AF91AF5"/>
    <w:rsid w:val="6B8321D1"/>
    <w:rsid w:val="6C1B4FD6"/>
    <w:rsid w:val="6D0039E6"/>
    <w:rsid w:val="6DFF121E"/>
    <w:rsid w:val="6E4B1CB1"/>
    <w:rsid w:val="6E716C56"/>
    <w:rsid w:val="6EF2290D"/>
    <w:rsid w:val="6FD31DFE"/>
    <w:rsid w:val="7019449F"/>
    <w:rsid w:val="705B05D0"/>
    <w:rsid w:val="708B638F"/>
    <w:rsid w:val="708E04C5"/>
    <w:rsid w:val="709D57C8"/>
    <w:rsid w:val="70F4233C"/>
    <w:rsid w:val="70FD5A41"/>
    <w:rsid w:val="71071DAA"/>
    <w:rsid w:val="71AA67BF"/>
    <w:rsid w:val="71E6726A"/>
    <w:rsid w:val="71FE2EF0"/>
    <w:rsid w:val="7266773A"/>
    <w:rsid w:val="732433BA"/>
    <w:rsid w:val="733C35D5"/>
    <w:rsid w:val="73692775"/>
    <w:rsid w:val="73E233A6"/>
    <w:rsid w:val="74400F6C"/>
    <w:rsid w:val="748F4ADC"/>
    <w:rsid w:val="751A7727"/>
    <w:rsid w:val="75427BF8"/>
    <w:rsid w:val="756538F4"/>
    <w:rsid w:val="7667358E"/>
    <w:rsid w:val="7895679E"/>
    <w:rsid w:val="78A22C2A"/>
    <w:rsid w:val="78E5635C"/>
    <w:rsid w:val="790F40FC"/>
    <w:rsid w:val="792B0B52"/>
    <w:rsid w:val="7AA82E41"/>
    <w:rsid w:val="7BD81B9B"/>
    <w:rsid w:val="7CA47EC1"/>
    <w:rsid w:val="7E7F5A81"/>
    <w:rsid w:val="7F690716"/>
    <w:rsid w:val="7FBD26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2"/>
    <w:qFormat/>
    <w:uiPriority w:val="0"/>
    <w:pPr>
      <w:jc w:val="center"/>
      <w:outlineLvl w:val="0"/>
    </w:pPr>
    <w:rPr>
      <w:b/>
      <w:kern w:val="44"/>
      <w:sz w:val="44"/>
    </w:rPr>
  </w:style>
  <w:style w:type="paragraph" w:styleId="2">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4"/>
    <w:semiHidden/>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basedOn w:val="8"/>
    <w:qFormat/>
    <w:uiPriority w:val="99"/>
    <w:rPr>
      <w:color w:val="0000FF"/>
      <w:u w:val="single"/>
    </w:rPr>
  </w:style>
  <w:style w:type="character" w:customStyle="1" w:styleId="10">
    <w:name w:val="页眉 Char"/>
    <w:basedOn w:val="8"/>
    <w:link w:val="6"/>
    <w:qFormat/>
    <w:uiPriority w:val="99"/>
    <w:rPr>
      <w:sz w:val="18"/>
      <w:szCs w:val="18"/>
    </w:rPr>
  </w:style>
  <w:style w:type="character" w:customStyle="1" w:styleId="11">
    <w:name w:val="页脚 Char"/>
    <w:basedOn w:val="8"/>
    <w:link w:val="5"/>
    <w:qFormat/>
    <w:uiPriority w:val="99"/>
    <w:rPr>
      <w:sz w:val="18"/>
      <w:szCs w:val="18"/>
    </w:rPr>
  </w:style>
  <w:style w:type="character" w:customStyle="1" w:styleId="12">
    <w:name w:val="标题 1 Char"/>
    <w:basedOn w:val="8"/>
    <w:link w:val="3"/>
    <w:qFormat/>
    <w:uiPriority w:val="0"/>
    <w:rPr>
      <w:rFonts w:ascii="Times New Roman" w:hAnsi="Times New Roman" w:eastAsia="宋体" w:cs="Times New Roman"/>
      <w:b/>
      <w:kern w:val="44"/>
      <w:sz w:val="44"/>
      <w:szCs w:val="20"/>
    </w:rPr>
  </w:style>
  <w:style w:type="paragraph" w:customStyle="1" w:styleId="13">
    <w:name w:val="Normal_1"/>
    <w:qFormat/>
    <w:uiPriority w:val="0"/>
    <w:pPr>
      <w:widowControl w:val="0"/>
      <w:jc w:val="both"/>
    </w:pPr>
    <w:rPr>
      <w:rFonts w:ascii="Times New Roman" w:hAnsi="Times New Roman" w:eastAsia="宋体" w:cs="Times New Roman"/>
      <w:lang w:val="en-US" w:eastAsia="zh-CN" w:bidi="ar-SA"/>
    </w:rPr>
  </w:style>
  <w:style w:type="character" w:customStyle="1" w:styleId="14">
    <w:name w:val="批注框文本 Char"/>
    <w:basedOn w:val="8"/>
    <w:link w:val="4"/>
    <w:semiHidden/>
    <w:qFormat/>
    <w:uiPriority w:val="99"/>
    <w:rPr>
      <w:rFonts w:ascii="Times New Roman" w:hAnsi="Times New Roman" w:eastAsia="宋体" w:cs="Times New Roman"/>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3711</Words>
  <Characters>4178</Characters>
  <Lines>28</Lines>
  <Paragraphs>8</Paragraphs>
  <TotalTime>2</TotalTime>
  <ScaleCrop>false</ScaleCrop>
  <LinksUpToDate>false</LinksUpToDate>
  <CharactersWithSpaces>4199</CharactersWithSpaces>
  <Application>WPS Office_11.1.0.15319_F1E327BC-269C-435d-A152-05C5408002CA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2021-02-01T07:47:00Z</dcterms:created>
  <dc:creator>CX2020111</dc:creator>
  <cp:lastModifiedBy>lenovo</cp:lastModifiedBy>
  <dcterms:modified xsi:type="dcterms:W3CDTF">2023-10-18T14:50:46Z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6F2B01104285491D858606FBE43B4915</vt:lpwstr>
  </property>
</Properties>
</file>