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hint="eastAsia" w:ascii="仿宋" w:hAnsi="仿宋" w:eastAsia="仿宋" w:cs="仿宋"/>
          <w:b/>
          <w:bCs w:val="0"/>
          <w:i w:val="0"/>
          <w:iCs w:val="0"/>
          <w:sz w:val="21"/>
          <w:szCs w:val="21"/>
          <w:highlight w:val="none"/>
          <w:u w:val="none"/>
        </w:rPr>
      </w:pPr>
      <w:bookmarkStart w:id="1" w:name="_GoBack"/>
      <w:bookmarkEnd w:id="1"/>
      <w:r>
        <w:rPr>
          <w:rFonts w:hint="eastAsia" w:ascii="仿宋" w:hAnsi="仿宋" w:eastAsia="仿宋" w:cs="仿宋"/>
          <w:b/>
          <w:bCs w:val="0"/>
          <w:i w:val="0"/>
          <w:iCs w:val="0"/>
          <w:sz w:val="21"/>
          <w:szCs w:val="21"/>
          <w:highlight w:val="none"/>
          <w:u w:val="none"/>
        </w:rPr>
        <w:t>附件1   招标需求一览表</w:t>
      </w:r>
    </w:p>
    <w:p>
      <w:pPr>
        <w:spacing w:line="400" w:lineRule="exact"/>
        <w:rPr>
          <w:rFonts w:hint="default" w:ascii="仿宋" w:hAnsi="仿宋" w:eastAsia="仿宋" w:cs="仿宋"/>
          <w:b/>
          <w:bCs w:val="0"/>
          <w:i w:val="0"/>
          <w:iCs w:val="0"/>
          <w:sz w:val="21"/>
          <w:szCs w:val="21"/>
          <w:highlight w:val="none"/>
          <w:u w:val="none"/>
          <w:lang w:val="en-US" w:eastAsia="zh-CN"/>
        </w:rPr>
      </w:pPr>
      <w:r>
        <w:rPr>
          <w:rFonts w:hint="eastAsia" w:ascii="仿宋" w:hAnsi="仿宋" w:eastAsia="仿宋" w:cs="仿宋"/>
          <w:b/>
          <w:bCs w:val="0"/>
          <w:i w:val="0"/>
          <w:iCs w:val="0"/>
          <w:sz w:val="21"/>
          <w:szCs w:val="21"/>
          <w:highlight w:val="none"/>
          <w:u w:val="none"/>
          <w:lang w:val="en-US" w:eastAsia="zh-CN"/>
        </w:rPr>
        <w:t>分标一：通信信号转发模组壳体采购项目</w:t>
      </w:r>
    </w:p>
    <w:tbl>
      <w:tblPr>
        <w:tblStyle w:val="8"/>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5"/>
        <w:gridCol w:w="1256"/>
        <w:gridCol w:w="3206"/>
        <w:gridCol w:w="689"/>
        <w:gridCol w:w="672"/>
        <w:gridCol w:w="894"/>
        <w:gridCol w:w="811"/>
        <w:gridCol w:w="716"/>
        <w:gridCol w:w="2257"/>
        <w:gridCol w:w="1511"/>
        <w:gridCol w:w="8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43"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b/>
                <w:bCs/>
                <w:kern w:val="0"/>
                <w:sz w:val="24"/>
                <w:szCs w:val="24"/>
                <w:highlight w:val="none"/>
              </w:rPr>
            </w:pPr>
            <w:bookmarkStart w:id="0" w:name="商务初评模板"/>
            <w:r>
              <w:rPr>
                <w:rFonts w:hint="eastAsia" w:ascii="仿宋" w:hAnsi="仿宋" w:eastAsia="仿宋" w:cs="仿宋"/>
                <w:b/>
                <w:bCs/>
                <w:kern w:val="0"/>
                <w:sz w:val="24"/>
                <w:szCs w:val="24"/>
                <w:highlight w:val="none"/>
              </w:rPr>
              <w:t>项目名称</w:t>
            </w:r>
          </w:p>
        </w:tc>
        <w:tc>
          <w:tcPr>
            <w:tcW w:w="443"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物资名称</w:t>
            </w:r>
          </w:p>
        </w:tc>
        <w:tc>
          <w:tcPr>
            <w:tcW w:w="1131"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主要技术要求</w:t>
            </w:r>
          </w:p>
        </w:tc>
        <w:tc>
          <w:tcPr>
            <w:tcW w:w="243"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单位</w:t>
            </w:r>
          </w:p>
        </w:tc>
        <w:tc>
          <w:tcPr>
            <w:tcW w:w="237"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数量</w:t>
            </w:r>
          </w:p>
        </w:tc>
        <w:tc>
          <w:tcPr>
            <w:tcW w:w="315"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交货日期</w:t>
            </w:r>
          </w:p>
        </w:tc>
        <w:tc>
          <w:tcPr>
            <w:tcW w:w="286"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质保期</w:t>
            </w:r>
          </w:p>
        </w:tc>
        <w:tc>
          <w:tcPr>
            <w:tcW w:w="252"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交货地点</w:t>
            </w:r>
          </w:p>
        </w:tc>
        <w:tc>
          <w:tcPr>
            <w:tcW w:w="796" w:type="pct"/>
            <w:tcBorders>
              <w:top w:val="single" w:color="auto" w:sz="4" w:space="0"/>
              <w:left w:val="single" w:color="auto" w:sz="4" w:space="0"/>
              <w:bottom w:val="single" w:color="auto" w:sz="4" w:space="0"/>
              <w:right w:val="single" w:color="auto" w:sz="4" w:space="0"/>
            </w:tcBorders>
            <w:vAlign w:val="center"/>
          </w:tcPr>
          <w:p>
            <w:pPr>
              <w:widowControl/>
              <w:shd w:val="clear"/>
              <w:jc w:val="center"/>
              <w:rPr>
                <w:rFonts w:hint="eastAsia" w:ascii="仿宋" w:hAnsi="仿宋" w:eastAsia="仿宋" w:cs="仿宋"/>
                <w:b/>
                <w:bCs/>
                <w:kern w:val="0"/>
                <w:sz w:val="24"/>
                <w:szCs w:val="24"/>
                <w:highlight w:val="none"/>
              </w:rPr>
            </w:pPr>
            <w:r>
              <w:rPr>
                <w:rFonts w:hint="eastAsia" w:ascii="仿宋" w:hAnsi="仿宋" w:eastAsia="仿宋" w:cs="仿宋"/>
                <w:b/>
                <w:bCs/>
                <w:color w:val="auto"/>
                <w:kern w:val="0"/>
                <w:sz w:val="24"/>
                <w:szCs w:val="24"/>
                <w:highlight w:val="none"/>
              </w:rPr>
              <w:t>专用资质要求</w:t>
            </w:r>
          </w:p>
        </w:tc>
        <w:tc>
          <w:tcPr>
            <w:tcW w:w="533" w:type="pct"/>
            <w:tcBorders>
              <w:top w:val="single" w:color="auto" w:sz="4" w:space="0"/>
              <w:left w:val="single" w:color="auto" w:sz="4" w:space="0"/>
              <w:bottom w:val="single" w:color="auto" w:sz="4" w:space="0"/>
              <w:right w:val="single" w:color="auto" w:sz="4" w:space="0"/>
            </w:tcBorders>
            <w:vAlign w:val="center"/>
          </w:tcPr>
          <w:p>
            <w:pPr>
              <w:widowControl/>
              <w:shd w:val="clear"/>
              <w:jc w:val="center"/>
              <w:rPr>
                <w:rFonts w:hint="eastAsia" w:ascii="仿宋" w:hAnsi="仿宋" w:eastAsia="仿宋" w:cs="仿宋"/>
                <w:b/>
                <w:bCs/>
                <w:kern w:val="0"/>
                <w:sz w:val="24"/>
                <w:szCs w:val="24"/>
                <w:highlight w:val="none"/>
              </w:rPr>
            </w:pPr>
            <w:r>
              <w:rPr>
                <w:rFonts w:hint="eastAsia" w:ascii="仿宋" w:hAnsi="仿宋" w:eastAsia="仿宋" w:cs="仿宋"/>
                <w:b/>
                <w:bCs/>
                <w:color w:val="auto"/>
                <w:kern w:val="0"/>
                <w:sz w:val="24"/>
                <w:szCs w:val="24"/>
                <w:highlight w:val="none"/>
                <w:lang w:val="en-US" w:eastAsia="zh-CN"/>
              </w:rPr>
              <w:t>专用业绩要求</w:t>
            </w:r>
          </w:p>
        </w:tc>
        <w:tc>
          <w:tcPr>
            <w:tcW w:w="316" w:type="pct"/>
            <w:tcBorders>
              <w:top w:val="single" w:color="auto" w:sz="4" w:space="0"/>
              <w:left w:val="single" w:color="auto" w:sz="4" w:space="0"/>
              <w:bottom w:val="single" w:color="auto" w:sz="4" w:space="0"/>
              <w:right w:val="single" w:color="auto" w:sz="4" w:space="0"/>
            </w:tcBorders>
            <w:vAlign w:val="center"/>
          </w:tcPr>
          <w:p>
            <w:pPr>
              <w:widowControl/>
              <w:shd w:val="clear"/>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保证金金额</w:t>
            </w:r>
          </w:p>
          <w:p>
            <w:pPr>
              <w:widowControl/>
              <w:shd w:val="clear"/>
              <w:jc w:val="center"/>
              <w:rPr>
                <w:rFonts w:hint="eastAsia" w:ascii="仿宋" w:hAnsi="仿宋" w:eastAsia="仿宋" w:cs="仿宋"/>
                <w:b/>
                <w:bCs/>
                <w:kern w:val="0"/>
                <w:sz w:val="24"/>
                <w:szCs w:val="24"/>
                <w:highlight w:val="none"/>
              </w:rPr>
            </w:pPr>
            <w:r>
              <w:rPr>
                <w:rFonts w:hint="eastAsia" w:ascii="仿宋" w:hAnsi="仿宋" w:eastAsia="仿宋" w:cs="仿宋"/>
                <w:b/>
                <w:bCs/>
                <w:color w:val="auto"/>
                <w:kern w:val="0"/>
                <w:sz w:val="24"/>
                <w:szCs w:val="24"/>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2" w:hRule="atLeast"/>
        </w:trPr>
        <w:tc>
          <w:tcPr>
            <w:tcW w:w="443" w:type="pct"/>
            <w:vMerge w:val="restart"/>
            <w:tcBorders>
              <w:top w:val="single" w:color="auto" w:sz="4" w:space="0"/>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eastAsia="zh-CN"/>
              </w:rPr>
              <w:t>通信信号转发模组壳体采购项目</w:t>
            </w:r>
            <w:r>
              <w:rPr>
                <w:rFonts w:hint="eastAsia" w:ascii="仿宋" w:hAnsi="仿宋" w:eastAsia="仿宋" w:cs="仿宋"/>
                <w:kern w:val="0"/>
                <w:sz w:val="24"/>
                <w:szCs w:val="24"/>
                <w:highlight w:val="none"/>
              </w:rPr>
              <w:t>（包一）</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通信信号转发模组</w:t>
            </w:r>
          </w:p>
        </w:tc>
        <w:tc>
          <w:tcPr>
            <w:tcW w:w="1131" w:type="pct"/>
            <w:tcBorders>
              <w:top w:val="single" w:color="auto" w:sz="4" w:space="0"/>
              <w:left w:val="single" w:color="auto" w:sz="4" w:space="0"/>
              <w:bottom w:val="single" w:color="auto" w:sz="4" w:space="0"/>
              <w:right w:val="single" w:color="auto" w:sz="4" w:space="0"/>
            </w:tcBorders>
            <w:vAlign w:val="center"/>
          </w:tcPr>
          <w:p>
            <w:pPr>
              <w:pStyle w:val="19"/>
              <w:overflowPunct/>
              <w:topLinePunct/>
              <w:snapToGrid/>
              <w:spacing w:before="31" w:line="240" w:lineRule="auto"/>
              <w:ind w:firstLine="0" w:firstLineChars="0"/>
              <w:jc w:val="center"/>
              <w:rPr>
                <w:rFonts w:hint="eastAsia" w:ascii="仿宋" w:hAnsi="仿宋" w:eastAsia="仿宋" w:cs="仿宋"/>
                <w:kern w:val="0"/>
                <w:sz w:val="24"/>
                <w:szCs w:val="24"/>
                <w:highlight w:val="none"/>
              </w:rPr>
            </w:pPr>
            <w:r>
              <w:rPr>
                <w:rFonts w:hint="eastAsia" w:ascii="仿宋" w:hAnsi="仿宋" w:eastAsia="仿宋" w:cs="仿宋"/>
                <w:sz w:val="24"/>
                <w:szCs w:val="24"/>
                <w:highlight w:val="none"/>
              </w:rPr>
              <w:t>系统的工作频率为1MHz～30MHz。宽带中继器应具有网络配置管理、故障管理、性能管理、安全管理等网络管理功能。详情见技术规范。</w:t>
            </w:r>
          </w:p>
        </w:tc>
        <w:tc>
          <w:tcPr>
            <w:tcW w:w="243"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个</w:t>
            </w:r>
          </w:p>
        </w:tc>
        <w:tc>
          <w:tcPr>
            <w:tcW w:w="23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color w:val="000000"/>
                <w:sz w:val="24"/>
                <w:szCs w:val="24"/>
                <w:highlight w:val="none"/>
              </w:rPr>
              <w:t>12285</w:t>
            </w:r>
          </w:p>
        </w:tc>
        <w:tc>
          <w:tcPr>
            <w:tcW w:w="315" w:type="pct"/>
            <w:vMerge w:val="restart"/>
            <w:tcBorders>
              <w:top w:val="single" w:color="auto" w:sz="4" w:space="0"/>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接到供货通知后20日内</w:t>
            </w:r>
          </w:p>
        </w:tc>
        <w:tc>
          <w:tcPr>
            <w:tcW w:w="286" w:type="pct"/>
            <w:vMerge w:val="restart"/>
            <w:tcBorders>
              <w:top w:val="single" w:color="auto" w:sz="4" w:space="0"/>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3年</w:t>
            </w:r>
          </w:p>
        </w:tc>
        <w:tc>
          <w:tcPr>
            <w:tcW w:w="252" w:type="pct"/>
            <w:vMerge w:val="restart"/>
            <w:tcBorders>
              <w:top w:val="single" w:color="auto" w:sz="4" w:space="0"/>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买方指定仓库地面交货</w:t>
            </w:r>
          </w:p>
        </w:tc>
        <w:tc>
          <w:tcPr>
            <w:tcW w:w="796" w:type="pct"/>
            <w:vMerge w:val="restart"/>
            <w:tcBorders>
              <w:top w:val="single" w:color="auto" w:sz="4" w:space="0"/>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厂商要求</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制造商</w:t>
            </w:r>
            <w:r>
              <w:rPr>
                <w:rFonts w:hint="eastAsia" w:ascii="仿宋" w:hAnsi="仿宋" w:eastAsia="仿宋" w:cs="仿宋"/>
                <w:kern w:val="0"/>
                <w:sz w:val="24"/>
                <w:szCs w:val="24"/>
                <w:highlight w:val="none"/>
                <w:lang w:eastAsia="zh-CN"/>
              </w:rPr>
              <w:t>；</w:t>
            </w:r>
          </w:p>
          <w:p>
            <w:pPr>
              <w:widowControl/>
              <w:jc w:val="center"/>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认证证书</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提供有效的ISO9001质量管理体系认证证书</w:t>
            </w:r>
            <w:r>
              <w:rPr>
                <w:rFonts w:hint="eastAsia" w:ascii="仿宋" w:hAnsi="仿宋" w:eastAsia="仿宋" w:cs="仿宋"/>
                <w:kern w:val="0"/>
                <w:sz w:val="24"/>
                <w:szCs w:val="24"/>
                <w:highlight w:val="none"/>
                <w:lang w:eastAsia="zh-CN"/>
              </w:rPr>
              <w:t>；</w:t>
            </w:r>
          </w:p>
          <w:p>
            <w:pPr>
              <w:widowControl/>
              <w:jc w:val="center"/>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rPr>
              <w:t>产品型式试验报告或检测报告或鉴定报告</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提供国家级权威检验检测机构出具的HPLC模块（单模或双模）检测报告。</w:t>
            </w:r>
          </w:p>
        </w:tc>
        <w:tc>
          <w:tcPr>
            <w:tcW w:w="533" w:type="pct"/>
            <w:vMerge w:val="restart"/>
            <w:tcBorders>
              <w:top w:val="single" w:color="auto" w:sz="4" w:space="0"/>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业绩要求</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2021年1月1日至采购公告发布日内,HPLC模块（单模或双模）或双模芯片销售业绩不少于500万元。（时间以合同签订日期为准，须提供用户合同封面、金额页、合同签字盖章页复印件、证明合同内容的合同页、发票复印件、发票查验结果截图）</w:t>
            </w:r>
          </w:p>
        </w:tc>
        <w:tc>
          <w:tcPr>
            <w:tcW w:w="316" w:type="pct"/>
            <w:vMerge w:val="restart"/>
            <w:tcBorders>
              <w:top w:val="single" w:color="auto" w:sz="4" w:space="0"/>
              <w:left w:val="single" w:color="auto" w:sz="4" w:space="0"/>
              <w:right w:val="single" w:color="auto" w:sz="4" w:space="0"/>
            </w:tcBorders>
            <w:vAlign w:val="center"/>
          </w:tcPr>
          <w:p>
            <w:pPr>
              <w:widowControl/>
              <w:jc w:val="center"/>
              <w:rPr>
                <w:rFonts w:hint="default"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443" w:type="pct"/>
            <w:vMerge w:val="continue"/>
            <w:tcBorders>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壳体</w:t>
            </w:r>
          </w:p>
        </w:tc>
        <w:tc>
          <w:tcPr>
            <w:tcW w:w="1131" w:type="pct"/>
            <w:tcBorders>
              <w:top w:val="single" w:color="auto" w:sz="4" w:space="0"/>
              <w:left w:val="single" w:color="auto" w:sz="4" w:space="0"/>
              <w:bottom w:val="single" w:color="auto" w:sz="4" w:space="0"/>
              <w:right w:val="single" w:color="auto" w:sz="4" w:space="0"/>
            </w:tcBorders>
            <w:vAlign w:val="center"/>
          </w:tcPr>
          <w:p>
            <w:pPr>
              <w:pStyle w:val="19"/>
              <w:overflowPunct/>
              <w:topLinePunct/>
              <w:snapToGrid/>
              <w:spacing w:before="31" w:line="240" w:lineRule="auto"/>
              <w:ind w:firstLine="0" w:firstLine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有机壳封装的通信单元其外壳应有足够的强度，外物撞击造成的变形应不影响其正常工作。外壳防护性能应符合GB/T4208—2008规定的IP51级要求，即防尘和防滴水；在正常运行条件下可能受到腐蚀或能生锈的金属部分，应有防锈、防腐的涂层或镀层。详情见技术规范。</w:t>
            </w:r>
          </w:p>
        </w:tc>
        <w:tc>
          <w:tcPr>
            <w:tcW w:w="243"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个</w:t>
            </w:r>
          </w:p>
        </w:tc>
        <w:tc>
          <w:tcPr>
            <w:tcW w:w="23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color w:val="000000"/>
                <w:sz w:val="24"/>
                <w:szCs w:val="24"/>
                <w:highlight w:val="none"/>
              </w:rPr>
              <w:t>12285</w:t>
            </w:r>
          </w:p>
        </w:tc>
        <w:tc>
          <w:tcPr>
            <w:tcW w:w="315" w:type="pct"/>
            <w:vMerge w:val="continue"/>
            <w:tcBorders>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p>
        </w:tc>
        <w:tc>
          <w:tcPr>
            <w:tcW w:w="286" w:type="pct"/>
            <w:vMerge w:val="continue"/>
            <w:tcBorders>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p>
        </w:tc>
        <w:tc>
          <w:tcPr>
            <w:tcW w:w="252" w:type="pct"/>
            <w:vMerge w:val="continue"/>
            <w:tcBorders>
              <w:left w:val="single" w:color="auto" w:sz="4" w:space="0"/>
              <w:right w:val="single" w:color="auto" w:sz="4" w:space="0"/>
            </w:tcBorders>
            <w:vAlign w:val="center"/>
          </w:tcPr>
          <w:p>
            <w:pPr>
              <w:widowControl/>
              <w:rPr>
                <w:rFonts w:hint="eastAsia" w:ascii="仿宋" w:hAnsi="仿宋" w:eastAsia="仿宋" w:cs="仿宋"/>
                <w:kern w:val="0"/>
                <w:sz w:val="24"/>
                <w:szCs w:val="24"/>
                <w:highlight w:val="none"/>
              </w:rPr>
            </w:pPr>
          </w:p>
        </w:tc>
        <w:tc>
          <w:tcPr>
            <w:tcW w:w="796" w:type="pct"/>
            <w:vMerge w:val="continue"/>
            <w:tcBorders>
              <w:left w:val="single" w:color="auto" w:sz="4" w:space="0"/>
              <w:right w:val="single" w:color="auto" w:sz="4" w:space="0"/>
            </w:tcBorders>
            <w:vAlign w:val="center"/>
          </w:tcPr>
          <w:p>
            <w:pPr>
              <w:widowControl/>
              <w:rPr>
                <w:rFonts w:hint="eastAsia" w:ascii="仿宋" w:hAnsi="仿宋" w:eastAsia="仿宋" w:cs="仿宋"/>
                <w:kern w:val="0"/>
                <w:sz w:val="24"/>
                <w:szCs w:val="24"/>
                <w:highlight w:val="none"/>
              </w:rPr>
            </w:pPr>
          </w:p>
        </w:tc>
        <w:tc>
          <w:tcPr>
            <w:tcW w:w="533" w:type="pct"/>
            <w:vMerge w:val="continue"/>
            <w:tcBorders>
              <w:left w:val="single" w:color="auto" w:sz="4" w:space="0"/>
              <w:right w:val="single" w:color="auto" w:sz="4" w:space="0"/>
            </w:tcBorders>
            <w:vAlign w:val="center"/>
          </w:tcPr>
          <w:p>
            <w:pPr>
              <w:widowControl/>
              <w:rPr>
                <w:rFonts w:hint="eastAsia" w:ascii="仿宋" w:hAnsi="仿宋" w:eastAsia="仿宋" w:cs="仿宋"/>
                <w:kern w:val="0"/>
                <w:sz w:val="24"/>
                <w:szCs w:val="24"/>
                <w:highlight w:val="none"/>
              </w:rPr>
            </w:pPr>
          </w:p>
        </w:tc>
        <w:tc>
          <w:tcPr>
            <w:tcW w:w="316" w:type="pct"/>
            <w:vMerge w:val="continue"/>
            <w:tcBorders>
              <w:left w:val="single" w:color="auto" w:sz="4" w:space="0"/>
              <w:right w:val="single" w:color="auto" w:sz="4" w:space="0"/>
            </w:tcBorders>
            <w:vAlign w:val="center"/>
          </w:tcPr>
          <w:p>
            <w:pPr>
              <w:widowControl/>
              <w:rPr>
                <w:rFonts w:hint="eastAsia" w:ascii="仿宋" w:hAnsi="仿宋" w:eastAsia="仿宋" w:cs="仿宋"/>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1" w:hRule="atLeast"/>
        </w:trPr>
        <w:tc>
          <w:tcPr>
            <w:tcW w:w="443" w:type="pct"/>
            <w:vMerge w:val="restart"/>
            <w:tcBorders>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eastAsia="zh-CN"/>
              </w:rPr>
              <w:t>通信信号转发模组壳体采购项目</w:t>
            </w:r>
            <w:r>
              <w:rPr>
                <w:rFonts w:hint="eastAsia" w:ascii="仿宋" w:hAnsi="仿宋" w:eastAsia="仿宋" w:cs="仿宋"/>
                <w:kern w:val="0"/>
                <w:sz w:val="24"/>
                <w:szCs w:val="24"/>
                <w:highlight w:val="none"/>
              </w:rPr>
              <w:t>（包二）</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通信信号转发模组</w:t>
            </w:r>
          </w:p>
        </w:tc>
        <w:tc>
          <w:tcPr>
            <w:tcW w:w="1131" w:type="pct"/>
            <w:tcBorders>
              <w:top w:val="single" w:color="auto" w:sz="4" w:space="0"/>
              <w:left w:val="single" w:color="auto" w:sz="4" w:space="0"/>
              <w:bottom w:val="single" w:color="auto" w:sz="4" w:space="0"/>
              <w:right w:val="single" w:color="auto" w:sz="4" w:space="0"/>
            </w:tcBorders>
            <w:vAlign w:val="center"/>
          </w:tcPr>
          <w:p>
            <w:pPr>
              <w:pStyle w:val="19"/>
              <w:overflowPunct/>
              <w:topLinePunct/>
              <w:snapToGrid/>
              <w:spacing w:before="31" w:line="240" w:lineRule="auto"/>
              <w:ind w:firstLine="0" w:firstLineChars="0"/>
              <w:jc w:val="center"/>
              <w:rPr>
                <w:rFonts w:hint="eastAsia" w:ascii="仿宋" w:hAnsi="仿宋" w:eastAsia="仿宋" w:cs="仿宋"/>
                <w:kern w:val="0"/>
                <w:sz w:val="24"/>
                <w:szCs w:val="24"/>
                <w:highlight w:val="none"/>
              </w:rPr>
            </w:pPr>
            <w:r>
              <w:rPr>
                <w:rFonts w:hint="eastAsia" w:ascii="仿宋" w:hAnsi="仿宋" w:eastAsia="仿宋" w:cs="仿宋"/>
                <w:sz w:val="24"/>
                <w:szCs w:val="24"/>
                <w:highlight w:val="none"/>
              </w:rPr>
              <w:t>系统的工作频率为1MHz～30MHz。宽带中继器应具有网络配置管理、故障管理、性能管理、安全管理等网络管理功能。详情见技术规范。</w:t>
            </w:r>
          </w:p>
        </w:tc>
        <w:tc>
          <w:tcPr>
            <w:tcW w:w="243"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个</w:t>
            </w:r>
          </w:p>
        </w:tc>
        <w:tc>
          <w:tcPr>
            <w:tcW w:w="23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sz w:val="24"/>
                <w:szCs w:val="24"/>
                <w:highlight w:val="none"/>
              </w:rPr>
              <w:t>6615</w:t>
            </w:r>
          </w:p>
        </w:tc>
        <w:tc>
          <w:tcPr>
            <w:tcW w:w="315" w:type="pct"/>
            <w:vMerge w:val="continue"/>
            <w:tcBorders>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p>
        </w:tc>
        <w:tc>
          <w:tcPr>
            <w:tcW w:w="286" w:type="pct"/>
            <w:vMerge w:val="continue"/>
            <w:tcBorders>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p>
        </w:tc>
        <w:tc>
          <w:tcPr>
            <w:tcW w:w="252" w:type="pct"/>
            <w:vMerge w:val="continue"/>
            <w:tcBorders>
              <w:left w:val="single" w:color="auto" w:sz="4" w:space="0"/>
              <w:right w:val="single" w:color="auto" w:sz="4" w:space="0"/>
            </w:tcBorders>
            <w:vAlign w:val="center"/>
          </w:tcPr>
          <w:p>
            <w:pPr>
              <w:widowControl/>
              <w:rPr>
                <w:rFonts w:hint="eastAsia" w:ascii="仿宋" w:hAnsi="仿宋" w:eastAsia="仿宋" w:cs="仿宋"/>
                <w:kern w:val="0"/>
                <w:sz w:val="24"/>
                <w:szCs w:val="24"/>
                <w:highlight w:val="none"/>
              </w:rPr>
            </w:pPr>
          </w:p>
        </w:tc>
        <w:tc>
          <w:tcPr>
            <w:tcW w:w="2257" w:type="dxa"/>
            <w:vMerge w:val="restart"/>
            <w:tcBorders>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厂商要求</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制造商</w:t>
            </w:r>
            <w:r>
              <w:rPr>
                <w:rFonts w:hint="eastAsia" w:ascii="仿宋" w:hAnsi="仿宋" w:eastAsia="仿宋" w:cs="仿宋"/>
                <w:kern w:val="0"/>
                <w:sz w:val="24"/>
                <w:szCs w:val="24"/>
                <w:highlight w:val="none"/>
                <w:lang w:eastAsia="zh-CN"/>
              </w:rPr>
              <w:t>；</w:t>
            </w:r>
          </w:p>
          <w:p>
            <w:pPr>
              <w:widowControl/>
              <w:jc w:val="center"/>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认证证书</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提供有效的ISO9001质量管理体系认证证书</w:t>
            </w:r>
            <w:r>
              <w:rPr>
                <w:rFonts w:hint="eastAsia" w:ascii="仿宋" w:hAnsi="仿宋" w:eastAsia="仿宋" w:cs="仿宋"/>
                <w:kern w:val="0"/>
                <w:sz w:val="24"/>
                <w:szCs w:val="24"/>
                <w:highlight w:val="none"/>
                <w:lang w:eastAsia="zh-CN"/>
              </w:rPr>
              <w:t>；</w:t>
            </w:r>
          </w:p>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rPr>
              <w:t>产品型式试验报告或检测报告或鉴定报告</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提供国家级权威检验检测机构出具的HPLC模块（单模或双模）检测报告。</w:t>
            </w:r>
          </w:p>
        </w:tc>
        <w:tc>
          <w:tcPr>
            <w:tcW w:w="1511" w:type="dxa"/>
            <w:vMerge w:val="restart"/>
            <w:tcBorders>
              <w:left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业绩要求</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2021年1月1日至采购公告发布日内,HPLC模块（单模或双模）或双模芯片销售业绩不少于500万元。（时间以合同签订日期为准，须提供用户合同封面、金额页、合同签字盖章页复印件、证明合同内容的合同页、发票复印件、发票查验结果截图）</w:t>
            </w:r>
          </w:p>
        </w:tc>
        <w:tc>
          <w:tcPr>
            <w:tcW w:w="316" w:type="pct"/>
            <w:vMerge w:val="restart"/>
            <w:tcBorders>
              <w:left w:val="single" w:color="auto" w:sz="4" w:space="0"/>
              <w:right w:val="single" w:color="auto" w:sz="4" w:space="0"/>
            </w:tcBorders>
            <w:vAlign w:val="center"/>
          </w:tcPr>
          <w:p>
            <w:pPr>
              <w:widowControl/>
              <w:rPr>
                <w:rFonts w:hint="default"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443" w:type="pct"/>
            <w:vMerge w:val="continue"/>
            <w:tcBorders>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壳体</w:t>
            </w:r>
          </w:p>
        </w:tc>
        <w:tc>
          <w:tcPr>
            <w:tcW w:w="1131" w:type="pct"/>
            <w:tcBorders>
              <w:top w:val="single" w:color="auto" w:sz="4" w:space="0"/>
              <w:left w:val="single" w:color="auto" w:sz="4" w:space="0"/>
              <w:bottom w:val="single" w:color="auto" w:sz="4" w:space="0"/>
              <w:right w:val="single" w:color="auto" w:sz="4" w:space="0"/>
            </w:tcBorders>
            <w:vAlign w:val="center"/>
          </w:tcPr>
          <w:p>
            <w:pPr>
              <w:pStyle w:val="19"/>
              <w:overflowPunct/>
              <w:topLinePunct/>
              <w:snapToGrid/>
              <w:spacing w:before="31" w:line="240" w:lineRule="auto"/>
              <w:ind w:firstLine="0" w:firstLine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有机壳封装的通信单元其外壳应有足够的强度，外物撞击造成的变形应不影响其正常工作。外壳防护性能应符合GB/T4208—2008规定的IP51级要求，即防尘和防滴水；在正常运行条件下可能受到腐蚀或能生锈的金属部分，应有防锈、防腐的涂层或镀层。详情见技术规范。</w:t>
            </w:r>
          </w:p>
        </w:tc>
        <w:tc>
          <w:tcPr>
            <w:tcW w:w="243" w:type="pct"/>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个</w:t>
            </w:r>
          </w:p>
        </w:tc>
        <w:tc>
          <w:tcPr>
            <w:tcW w:w="23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sz w:val="24"/>
                <w:szCs w:val="24"/>
                <w:highlight w:val="none"/>
              </w:rPr>
              <w:t>6615</w:t>
            </w:r>
          </w:p>
        </w:tc>
        <w:tc>
          <w:tcPr>
            <w:tcW w:w="315" w:type="pct"/>
            <w:vMerge w:val="continue"/>
            <w:tcBorders>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p>
        </w:tc>
        <w:tc>
          <w:tcPr>
            <w:tcW w:w="286" w:type="pct"/>
            <w:vMerge w:val="continue"/>
            <w:tcBorders>
              <w:left w:val="single" w:color="auto" w:sz="4" w:space="0"/>
              <w:bottom w:val="single" w:color="auto" w:sz="4" w:space="0"/>
              <w:right w:val="single" w:color="auto" w:sz="4" w:space="0"/>
            </w:tcBorders>
            <w:vAlign w:val="center"/>
          </w:tcPr>
          <w:p>
            <w:pPr>
              <w:widowControl/>
              <w:jc w:val="center"/>
              <w:rPr>
                <w:rFonts w:hint="eastAsia" w:ascii="仿宋" w:hAnsi="仿宋" w:eastAsia="仿宋" w:cs="仿宋"/>
                <w:kern w:val="0"/>
                <w:sz w:val="24"/>
                <w:szCs w:val="24"/>
                <w:highlight w:val="none"/>
              </w:rPr>
            </w:pPr>
          </w:p>
        </w:tc>
        <w:tc>
          <w:tcPr>
            <w:tcW w:w="252" w:type="pct"/>
            <w:vMerge w:val="continue"/>
            <w:tcBorders>
              <w:left w:val="single" w:color="auto" w:sz="4" w:space="0"/>
              <w:bottom w:val="single" w:color="auto" w:sz="4" w:space="0"/>
              <w:right w:val="single" w:color="auto" w:sz="4" w:space="0"/>
            </w:tcBorders>
            <w:vAlign w:val="center"/>
          </w:tcPr>
          <w:p>
            <w:pPr>
              <w:widowControl/>
              <w:rPr>
                <w:rFonts w:hint="eastAsia" w:ascii="仿宋" w:hAnsi="仿宋" w:eastAsia="仿宋" w:cs="仿宋"/>
                <w:kern w:val="0"/>
                <w:sz w:val="24"/>
                <w:szCs w:val="24"/>
                <w:highlight w:val="none"/>
              </w:rPr>
            </w:pPr>
          </w:p>
        </w:tc>
        <w:tc>
          <w:tcPr>
            <w:tcW w:w="796" w:type="pct"/>
            <w:vMerge w:val="continue"/>
            <w:tcBorders>
              <w:left w:val="single" w:color="auto" w:sz="4" w:space="0"/>
              <w:bottom w:val="single" w:color="auto" w:sz="4" w:space="0"/>
              <w:right w:val="single" w:color="auto" w:sz="4" w:space="0"/>
            </w:tcBorders>
            <w:vAlign w:val="center"/>
          </w:tcPr>
          <w:p>
            <w:pPr>
              <w:widowControl/>
              <w:rPr>
                <w:rFonts w:hint="eastAsia" w:ascii="仿宋" w:hAnsi="仿宋" w:eastAsia="仿宋" w:cs="仿宋"/>
                <w:kern w:val="0"/>
                <w:sz w:val="24"/>
                <w:szCs w:val="24"/>
                <w:highlight w:val="none"/>
              </w:rPr>
            </w:pPr>
          </w:p>
        </w:tc>
        <w:tc>
          <w:tcPr>
            <w:tcW w:w="533" w:type="pct"/>
            <w:vMerge w:val="continue"/>
            <w:tcBorders>
              <w:left w:val="single" w:color="auto" w:sz="4" w:space="0"/>
              <w:bottom w:val="single" w:color="auto" w:sz="4" w:space="0"/>
              <w:right w:val="single" w:color="auto" w:sz="4" w:space="0"/>
            </w:tcBorders>
            <w:vAlign w:val="center"/>
          </w:tcPr>
          <w:p>
            <w:pPr>
              <w:widowControl/>
              <w:rPr>
                <w:rFonts w:hint="eastAsia" w:ascii="仿宋" w:hAnsi="仿宋" w:eastAsia="仿宋" w:cs="仿宋"/>
                <w:kern w:val="0"/>
                <w:sz w:val="24"/>
                <w:szCs w:val="24"/>
                <w:highlight w:val="none"/>
              </w:rPr>
            </w:pPr>
          </w:p>
        </w:tc>
        <w:tc>
          <w:tcPr>
            <w:tcW w:w="316" w:type="pct"/>
            <w:vMerge w:val="continue"/>
            <w:tcBorders>
              <w:left w:val="single" w:color="auto" w:sz="4" w:space="0"/>
              <w:bottom w:val="single" w:color="auto" w:sz="4" w:space="0"/>
              <w:right w:val="single" w:color="auto" w:sz="4" w:space="0"/>
            </w:tcBorders>
            <w:vAlign w:val="center"/>
          </w:tcPr>
          <w:p>
            <w:pPr>
              <w:widowControl/>
              <w:rPr>
                <w:rFonts w:hint="eastAsia" w:ascii="仿宋" w:hAnsi="仿宋" w:eastAsia="仿宋" w:cs="仿宋"/>
                <w:kern w:val="0"/>
                <w:sz w:val="24"/>
                <w:szCs w:val="24"/>
                <w:highlight w:val="none"/>
              </w:rPr>
            </w:pPr>
          </w:p>
        </w:tc>
      </w:tr>
    </w:tbl>
    <w:p>
      <w:pPr>
        <w:pStyle w:val="17"/>
        <w:rPr>
          <w:rFonts w:hint="eastAsia" w:ascii="仿宋" w:hAnsi="仿宋" w:eastAsia="仿宋" w:cs="仿宋"/>
          <w:sz w:val="24"/>
          <w:szCs w:val="24"/>
          <w:highlight w:val="none"/>
        </w:rPr>
      </w:pPr>
    </w:p>
    <w:p>
      <w:pPr>
        <w:pStyle w:val="17"/>
        <w:rPr>
          <w:rFonts w:hint="eastAsia" w:ascii="仿宋" w:hAnsi="仿宋" w:eastAsia="仿宋" w:cs="仿宋"/>
          <w:b w:val="0"/>
          <w:bCs/>
          <w:i w:val="0"/>
          <w:iCs w:val="0"/>
          <w:sz w:val="21"/>
          <w:szCs w:val="21"/>
          <w:highlight w:val="none"/>
          <w:u w:val="none"/>
        </w:rPr>
      </w:pPr>
      <w:r>
        <w:rPr>
          <w:rFonts w:hint="eastAsia" w:ascii="仿宋" w:hAnsi="仿宋" w:eastAsia="仿宋" w:cs="仿宋"/>
          <w:sz w:val="24"/>
          <w:szCs w:val="24"/>
          <w:highlight w:val="none"/>
        </w:rPr>
        <w:t>具体供货不局限于上述产品。应包括上述产品相关配件，类似升级产品</w:t>
      </w:r>
      <w:r>
        <w:rPr>
          <w:rFonts w:hint="eastAsia" w:ascii="仿宋" w:hAnsi="仿宋" w:eastAsia="仿宋" w:cs="仿宋"/>
          <w:b w:val="0"/>
          <w:bCs/>
          <w:i w:val="0"/>
          <w:iCs w:val="0"/>
          <w:sz w:val="21"/>
          <w:szCs w:val="21"/>
          <w:highlight w:val="none"/>
          <w:u w:val="none"/>
        </w:rPr>
        <w:t>。</w:t>
      </w:r>
    </w:p>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备注：</w:t>
      </w:r>
    </w:p>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2.投标文件中提供的证明材料复印件应复印清晰、可辨认且不得遮盖、涂抹，否则视为无效。</w:t>
      </w:r>
    </w:p>
    <w:p>
      <w:pPr>
        <w:jc w:val="left"/>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3.</w:t>
      </w:r>
      <w:r>
        <w:rPr>
          <w:rFonts w:hint="eastAsia" w:ascii="仿宋" w:hAnsi="仿宋" w:eastAsia="仿宋" w:cs="仿宋"/>
          <w:b/>
          <w:bCs/>
          <w:sz w:val="24"/>
          <w:szCs w:val="24"/>
          <w:highlight w:val="none"/>
        </w:rPr>
        <w:t>本批次采购业绩均应出具与项目建设单位直接签订并执行的合同关键部分（包括封面、合同协议书、签署页、承包范围（工作内容）及其它关键条款等）（转包、分包合同不予认可）和发票原件影印件（至少提供预付款、进度款、结算款三种发票中的一种，发票扫描件需清晰可辨，发票二维码区不得遮挡、涂抹，如因扫描件模糊无法查验真伪的，该业绩可能不被认可）作为支撑材料。业绩认定时间</w:t>
      </w:r>
      <w:r>
        <w:rPr>
          <w:rFonts w:hint="eastAsia" w:ascii="仿宋" w:hAnsi="仿宋" w:eastAsia="仿宋" w:cs="仿宋"/>
          <w:b/>
          <w:bCs/>
          <w:color w:val="FF0000"/>
          <w:sz w:val="24"/>
          <w:szCs w:val="24"/>
          <w:highlight w:val="none"/>
        </w:rPr>
        <w:t>以合同签订时间为准</w:t>
      </w:r>
      <w:r>
        <w:rPr>
          <w:rFonts w:hint="eastAsia" w:ascii="仿宋" w:hAnsi="仿宋" w:eastAsia="仿宋" w:cs="仿宋"/>
          <w:b/>
          <w:bCs/>
          <w:sz w:val="24"/>
          <w:szCs w:val="24"/>
          <w:highlight w:val="none"/>
        </w:rPr>
        <w:t>，若合同无签署日期，且无其他可以证明合同签署日期的文件，则该项业绩无效。若合同上存在多个签署日期的，以最后一方签署的时间为准。业绩发票影印件后须附通过国家税务总局全国增值税发票查验平台（网址：</w:t>
      </w:r>
      <w:r>
        <w:rPr>
          <w:rFonts w:hint="eastAsia" w:ascii="仿宋" w:hAnsi="仿宋" w:eastAsia="仿宋" w:cs="仿宋"/>
          <w:b/>
          <w:bCs/>
          <w:sz w:val="24"/>
          <w:szCs w:val="24"/>
          <w:highlight w:val="none"/>
        </w:rPr>
        <w:fldChar w:fldCharType="begin"/>
      </w:r>
      <w:r>
        <w:rPr>
          <w:rFonts w:hint="eastAsia" w:ascii="仿宋" w:hAnsi="仿宋" w:eastAsia="仿宋" w:cs="仿宋"/>
          <w:b/>
          <w:bCs/>
          <w:sz w:val="24"/>
          <w:szCs w:val="24"/>
          <w:highlight w:val="none"/>
        </w:rPr>
        <w:instrText xml:space="preserve"> HYPERLINK "https://inv-veri.chinatax.gov.cn/）查验的发票结果截图，\“一发票一截图\”，发票开票日期不得晚于采购公告发布时间。未提供发票或未提供对应发票查验结果截图的或发票开标日期晚于采购公告发布时间的业绩不予认可。所有业绩支撑证明材料内容须保证清晰、可辨认且不得遮盖、涂抹。" </w:instrText>
      </w:r>
      <w:r>
        <w:rPr>
          <w:rFonts w:hint="eastAsia" w:ascii="仿宋" w:hAnsi="仿宋" w:eastAsia="仿宋" w:cs="仿宋"/>
          <w:b/>
          <w:bCs/>
          <w:sz w:val="24"/>
          <w:szCs w:val="24"/>
          <w:highlight w:val="none"/>
        </w:rPr>
        <w:fldChar w:fldCharType="separate"/>
      </w:r>
      <w:r>
        <w:rPr>
          <w:rStyle w:val="12"/>
          <w:rFonts w:hint="eastAsia" w:ascii="仿宋" w:hAnsi="仿宋" w:eastAsia="仿宋" w:cs="仿宋"/>
          <w:b/>
          <w:bCs/>
          <w:sz w:val="24"/>
          <w:szCs w:val="24"/>
          <w:highlight w:val="none"/>
        </w:rPr>
        <w:t>https://inv-veri.chinatax.gov.cn/）查验的发票结果截图，“一发票一截图”，发票开票日期不得晚于采购公告发布时间。未提供发票或未提供对应发票查验结果截图的或发票开标日期晚于采购公告发布时间的业绩不予认可。所有业绩支撑证明材料内容须保证清晰、可辨认且不得遮盖、涂抹</w:t>
      </w:r>
      <w:r>
        <w:rPr>
          <w:rStyle w:val="12"/>
          <w:rFonts w:hint="eastAsia" w:ascii="仿宋" w:hAnsi="仿宋" w:eastAsia="仿宋" w:cs="仿宋"/>
          <w:b w:val="0"/>
          <w:bCs/>
          <w:i w:val="0"/>
          <w:iCs w:val="0"/>
          <w:sz w:val="21"/>
          <w:szCs w:val="21"/>
          <w:highlight w:val="none"/>
        </w:rPr>
        <w:t>。</w:t>
      </w:r>
      <w:bookmarkEnd w:id="0"/>
      <w:r>
        <w:rPr>
          <w:rStyle w:val="12"/>
          <w:rFonts w:hint="eastAsia" w:ascii="仿宋" w:hAnsi="仿宋" w:eastAsia="仿宋" w:cs="仿宋"/>
          <w:b w:val="0"/>
          <w:bCs/>
          <w:i w:val="0"/>
          <w:iCs w:val="0"/>
          <w:sz w:val="21"/>
          <w:szCs w:val="21"/>
          <w:highlight w:val="none"/>
        </w:rPr>
        <w:br w:type="page"/>
      </w:r>
      <w:r>
        <w:rPr>
          <w:rFonts w:hint="eastAsia" w:ascii="仿宋" w:hAnsi="仿宋" w:eastAsia="仿宋" w:cs="仿宋"/>
          <w:b/>
          <w:bCs/>
          <w:sz w:val="24"/>
          <w:szCs w:val="24"/>
          <w:highlight w:val="none"/>
        </w:rPr>
        <w:fldChar w:fldCharType="end"/>
      </w:r>
    </w:p>
    <w:p>
      <w:pPr>
        <w:spacing w:line="400" w:lineRule="exact"/>
        <w:rPr>
          <w:rFonts w:hint="eastAsia" w:ascii="仿宋" w:hAnsi="仿宋" w:eastAsia="仿宋" w:cs="仿宋"/>
          <w:b/>
          <w:bCs w:val="0"/>
          <w:i w:val="0"/>
          <w:iCs w:val="0"/>
          <w:sz w:val="21"/>
          <w:szCs w:val="21"/>
          <w:highlight w:val="none"/>
          <w:u w:val="none"/>
          <w:lang w:val="en-US" w:eastAsia="zh-CN"/>
        </w:rPr>
      </w:pPr>
      <w:r>
        <w:rPr>
          <w:rFonts w:hint="eastAsia" w:ascii="仿宋" w:hAnsi="仿宋" w:eastAsia="仿宋" w:cs="仿宋"/>
          <w:b/>
          <w:bCs w:val="0"/>
          <w:i w:val="0"/>
          <w:iCs w:val="0"/>
          <w:sz w:val="21"/>
          <w:szCs w:val="21"/>
          <w:highlight w:val="none"/>
          <w:u w:val="none"/>
          <w:lang w:val="en-US" w:eastAsia="zh-CN"/>
        </w:rPr>
        <w:t>分标二：充电设备屏柜体采购项目</w:t>
      </w:r>
    </w:p>
    <w:tbl>
      <w:tblPr>
        <w:tblStyle w:val="9"/>
        <w:tblpPr w:leftFromText="180" w:rightFromText="180" w:vertAnchor="text" w:horzAnchor="margin" w:tblpX="108" w:tblpY="104"/>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48"/>
        <w:gridCol w:w="2040"/>
        <w:gridCol w:w="3141"/>
        <w:gridCol w:w="570"/>
        <w:gridCol w:w="1111"/>
        <w:gridCol w:w="890"/>
        <w:gridCol w:w="947"/>
        <w:gridCol w:w="1004"/>
        <w:gridCol w:w="1004"/>
        <w:gridCol w:w="1004"/>
        <w:gridCol w:w="10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Align w:val="center"/>
          </w:tcPr>
          <w:p>
            <w:pPr>
              <w:widowControl/>
              <w:snapToGrid w:val="0"/>
              <w:jc w:val="center"/>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项目名称</w:t>
            </w:r>
          </w:p>
        </w:tc>
        <w:tc>
          <w:tcPr>
            <w:tcW w:w="720" w:type="pct"/>
            <w:vAlign w:val="center"/>
          </w:tcPr>
          <w:p>
            <w:pPr>
              <w:widowControl/>
              <w:snapToGrid w:val="0"/>
              <w:jc w:val="center"/>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物资名称</w:t>
            </w:r>
          </w:p>
        </w:tc>
        <w:tc>
          <w:tcPr>
            <w:tcW w:w="1108" w:type="pct"/>
            <w:vAlign w:val="center"/>
          </w:tcPr>
          <w:p>
            <w:pPr>
              <w:widowControl/>
              <w:snapToGrid w:val="0"/>
              <w:jc w:val="center"/>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主要技术要求</w:t>
            </w:r>
          </w:p>
        </w:tc>
        <w:tc>
          <w:tcPr>
            <w:tcW w:w="201" w:type="pct"/>
            <w:vAlign w:val="center"/>
          </w:tcPr>
          <w:p>
            <w:pPr>
              <w:widowControl/>
              <w:snapToGrid w:val="0"/>
              <w:jc w:val="center"/>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单位</w:t>
            </w:r>
          </w:p>
        </w:tc>
        <w:tc>
          <w:tcPr>
            <w:tcW w:w="392" w:type="pct"/>
            <w:tcBorders>
              <w:bottom w:val="single" w:color="auto" w:sz="4" w:space="0"/>
            </w:tcBorders>
            <w:vAlign w:val="center"/>
          </w:tcPr>
          <w:p>
            <w:pPr>
              <w:widowControl/>
              <w:snapToGrid w:val="0"/>
              <w:jc w:val="center"/>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数量</w:t>
            </w:r>
          </w:p>
        </w:tc>
        <w:tc>
          <w:tcPr>
            <w:tcW w:w="314" w:type="pct"/>
            <w:vAlign w:val="center"/>
          </w:tcPr>
          <w:p>
            <w:pPr>
              <w:widowControl/>
              <w:snapToGrid w:val="0"/>
              <w:jc w:val="center"/>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交货日期</w:t>
            </w:r>
          </w:p>
        </w:tc>
        <w:tc>
          <w:tcPr>
            <w:tcW w:w="334" w:type="pct"/>
            <w:vAlign w:val="center"/>
          </w:tcPr>
          <w:p>
            <w:pPr>
              <w:widowControl/>
              <w:snapToGrid w:val="0"/>
              <w:jc w:val="center"/>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质保期</w:t>
            </w:r>
          </w:p>
        </w:tc>
        <w:tc>
          <w:tcPr>
            <w:tcW w:w="354" w:type="pct"/>
            <w:vAlign w:val="center"/>
          </w:tcPr>
          <w:p>
            <w:pPr>
              <w:widowControl/>
              <w:snapToGrid w:val="0"/>
              <w:jc w:val="center"/>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交货地点</w:t>
            </w:r>
          </w:p>
        </w:tc>
        <w:tc>
          <w:tcPr>
            <w:tcW w:w="354" w:type="pct"/>
            <w:vAlign w:val="center"/>
          </w:tcPr>
          <w:p>
            <w:pPr>
              <w:widowControl/>
              <w:shd w:val="clear"/>
              <w:jc w:val="center"/>
              <w:rPr>
                <w:rFonts w:hint="eastAsia" w:ascii="仿宋" w:hAnsi="仿宋" w:eastAsia="仿宋" w:cs="仿宋"/>
                <w:b/>
                <w:bCs/>
                <w:kern w:val="0"/>
                <w:sz w:val="21"/>
                <w:szCs w:val="21"/>
                <w:highlight w:val="none"/>
              </w:rPr>
            </w:pPr>
            <w:r>
              <w:rPr>
                <w:rFonts w:hint="eastAsia" w:ascii="仿宋" w:hAnsi="仿宋" w:eastAsia="仿宋" w:cs="仿宋"/>
                <w:b/>
                <w:bCs/>
                <w:color w:val="auto"/>
                <w:kern w:val="0"/>
                <w:sz w:val="24"/>
                <w:szCs w:val="24"/>
                <w:highlight w:val="none"/>
              </w:rPr>
              <w:t>专用资质要求</w:t>
            </w:r>
          </w:p>
        </w:tc>
        <w:tc>
          <w:tcPr>
            <w:tcW w:w="354" w:type="pct"/>
            <w:vAlign w:val="center"/>
          </w:tcPr>
          <w:p>
            <w:pPr>
              <w:widowControl/>
              <w:shd w:val="clear"/>
              <w:jc w:val="center"/>
              <w:rPr>
                <w:rFonts w:hint="eastAsia" w:ascii="仿宋" w:hAnsi="仿宋" w:eastAsia="仿宋" w:cs="仿宋"/>
                <w:b/>
                <w:bCs/>
                <w:kern w:val="0"/>
                <w:sz w:val="21"/>
                <w:szCs w:val="21"/>
                <w:highlight w:val="none"/>
              </w:rPr>
            </w:pPr>
            <w:r>
              <w:rPr>
                <w:rFonts w:hint="eastAsia" w:ascii="仿宋" w:hAnsi="仿宋" w:eastAsia="仿宋" w:cs="仿宋"/>
                <w:b/>
                <w:bCs/>
                <w:color w:val="auto"/>
                <w:kern w:val="0"/>
                <w:sz w:val="24"/>
                <w:szCs w:val="24"/>
                <w:highlight w:val="none"/>
                <w:lang w:val="en-US" w:eastAsia="zh-CN"/>
              </w:rPr>
              <w:t>专用业绩要求</w:t>
            </w:r>
          </w:p>
        </w:tc>
        <w:tc>
          <w:tcPr>
            <w:tcW w:w="354" w:type="pct"/>
            <w:vAlign w:val="center"/>
          </w:tcPr>
          <w:p>
            <w:pPr>
              <w:widowControl/>
              <w:shd w:val="clear"/>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保证金金额</w:t>
            </w:r>
          </w:p>
          <w:p>
            <w:pPr>
              <w:widowControl/>
              <w:shd w:val="clear"/>
              <w:jc w:val="center"/>
              <w:rPr>
                <w:rFonts w:hint="eastAsia" w:ascii="仿宋" w:hAnsi="仿宋" w:eastAsia="仿宋" w:cs="仿宋"/>
                <w:b/>
                <w:bCs/>
                <w:kern w:val="0"/>
                <w:sz w:val="21"/>
                <w:szCs w:val="21"/>
                <w:highlight w:val="none"/>
              </w:rPr>
            </w:pPr>
            <w:r>
              <w:rPr>
                <w:rFonts w:hint="eastAsia" w:ascii="仿宋" w:hAnsi="仿宋" w:eastAsia="仿宋" w:cs="仿宋"/>
                <w:b/>
                <w:bCs/>
                <w:color w:val="auto"/>
                <w:kern w:val="0"/>
                <w:sz w:val="24"/>
                <w:szCs w:val="24"/>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restart"/>
            <w:vAlign w:val="center"/>
          </w:tcPr>
          <w:p>
            <w:pPr>
              <w:snapToGrid w:val="0"/>
              <w:jc w:val="center"/>
              <w:rPr>
                <w:rFonts w:hint="eastAsia" w:ascii="仿宋" w:hAnsi="仿宋" w:eastAsia="仿宋" w:cs="仿宋"/>
                <w:kern w:val="0"/>
                <w:sz w:val="21"/>
                <w:szCs w:val="21"/>
                <w:highlight w:val="none"/>
              </w:rPr>
            </w:pPr>
          </w:p>
          <w:p>
            <w:pPr>
              <w:snapToGrid w:val="0"/>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充电设备屏柜体采购项目（包一）</w:t>
            </w: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720kW分体户外充电柜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restart"/>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接到供货通知后20日内</w:t>
            </w:r>
          </w:p>
        </w:tc>
        <w:tc>
          <w:tcPr>
            <w:tcW w:w="334" w:type="pct"/>
            <w:vMerge w:val="restart"/>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5年</w:t>
            </w:r>
          </w:p>
        </w:tc>
        <w:tc>
          <w:tcPr>
            <w:tcW w:w="354" w:type="pct"/>
            <w:vMerge w:val="restart"/>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买方指定地点地面交货</w:t>
            </w:r>
          </w:p>
        </w:tc>
        <w:tc>
          <w:tcPr>
            <w:tcW w:w="354" w:type="pct"/>
            <w:vMerge w:val="restart"/>
            <w:vAlign w:val="center"/>
          </w:tcPr>
          <w:p>
            <w:pPr>
              <w:widowControl/>
              <w:snapToGrid w:val="0"/>
              <w:jc w:val="center"/>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rPr>
              <w:t>厂商要求</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制造商</w:t>
            </w:r>
            <w:r>
              <w:rPr>
                <w:rFonts w:hint="eastAsia" w:ascii="仿宋" w:hAnsi="仿宋" w:eastAsia="仿宋" w:cs="仿宋"/>
                <w:sz w:val="21"/>
                <w:szCs w:val="21"/>
                <w:highlight w:val="none"/>
                <w:lang w:eastAsia="zh-CN"/>
              </w:rPr>
              <w:t>；</w:t>
            </w:r>
          </w:p>
          <w:p>
            <w:pPr>
              <w:widowControl/>
              <w:snapToGrid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w:t>
            </w:r>
            <w:r>
              <w:rPr>
                <w:rFonts w:hint="eastAsia" w:ascii="仿宋" w:hAnsi="仿宋" w:eastAsia="仿宋" w:cs="仿宋"/>
                <w:sz w:val="21"/>
                <w:szCs w:val="21"/>
                <w:highlight w:val="none"/>
              </w:rPr>
              <w:t>认证证书</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具有有效的ISO9000系列质量</w:t>
            </w:r>
            <w:r>
              <w:rPr>
                <w:rFonts w:hint="eastAsia" w:ascii="仿宋" w:hAnsi="仿宋" w:eastAsia="仿宋" w:cs="仿宋"/>
                <w:sz w:val="21"/>
                <w:szCs w:val="21"/>
                <w:highlight w:val="none"/>
                <w:lang w:eastAsia="zh-CN"/>
              </w:rPr>
              <w:t>管理</w:t>
            </w:r>
            <w:r>
              <w:rPr>
                <w:rFonts w:hint="eastAsia" w:ascii="仿宋" w:hAnsi="仿宋" w:eastAsia="仿宋" w:cs="仿宋"/>
                <w:sz w:val="21"/>
                <w:szCs w:val="21"/>
                <w:highlight w:val="none"/>
              </w:rPr>
              <w:t>体系认证证书</w:t>
            </w:r>
          </w:p>
        </w:tc>
        <w:tc>
          <w:tcPr>
            <w:tcW w:w="354" w:type="pct"/>
            <w:vMerge w:val="restart"/>
            <w:vAlign w:val="center"/>
          </w:tcPr>
          <w:p>
            <w:pPr>
              <w:widowControl/>
              <w:snapToGrid w:val="0"/>
              <w:jc w:val="center"/>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rPr>
              <w:t>业绩要求</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2021年1月1日至招标公告发布日,屏柜体类或者箱体类产品累计销售业绩不少于500万。（时间以合同签订日期为准，须提供用户合同封面、金额页、合同签字盖章页复印件、证明合同内容的合同页、发票复印件、发票查验结果截图）</w:t>
            </w:r>
          </w:p>
        </w:tc>
        <w:tc>
          <w:tcPr>
            <w:tcW w:w="354" w:type="pct"/>
            <w:vMerge w:val="restart"/>
            <w:vAlign w:val="center"/>
          </w:tcPr>
          <w:p>
            <w:pPr>
              <w:widowControl/>
              <w:snapToGrid w:val="0"/>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300kW分体户外充电柜1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9</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300kW分体户外充电柜2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160kW分体户外充电柜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240kW分体户外充电柜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180kW-240kW一体户外柜/分体户外柜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60kW一体化户外充电柜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100~160kW一体化户外充电柜-1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160~240kW一体化户外充电柜-2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300~360kW一体化户外充电柜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户外控制柜（不锈钢）</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不锈钢</w:t>
            </w:r>
          </w:p>
          <w:p>
            <w:pPr>
              <w:snapToGrid w:val="0"/>
              <w:jc w:val="center"/>
              <w:rPr>
                <w:rFonts w:hint="eastAsia" w:ascii="仿宋" w:hAnsi="仿宋" w:eastAsia="仿宋" w:cs="仿宋"/>
                <w:sz w:val="21"/>
                <w:szCs w:val="21"/>
                <w:highlight w:val="none"/>
              </w:rPr>
            </w:pP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户外通讯柜1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户外通讯柜2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20kW一体化户外充电柜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75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直流户外充电桩1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直流户外充电桩2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交流户外充电桩（壁挂1）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交流户外充电桩（壁挂2）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交流户外充电桩（立式1）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交流户外充电桩（立式2）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光伏智能开关户外机箱1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不锈钢304</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光伏智能开关户外机箱2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不锈钢304</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开关模块户外机箱1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面板：</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外壳及内部框架：</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开关模块户外机箱2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面板：</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外壳及内部框架：</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装置壳体</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A6壁挂板</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A6圆管立柱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型材钢+冷轧镀锌板</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A6带遮阳</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方形立柱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9</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A6有序</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转接板</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铝合金</w:t>
            </w:r>
          </w:p>
          <w:p>
            <w:pPr>
              <w:snapToGrid w:val="0"/>
              <w:jc w:val="center"/>
              <w:rPr>
                <w:rFonts w:hint="eastAsia" w:ascii="仿宋" w:hAnsi="仿宋" w:eastAsia="仿宋" w:cs="仿宋"/>
                <w:sz w:val="21"/>
                <w:szCs w:val="21"/>
                <w:highlight w:val="none"/>
              </w:rPr>
            </w:pP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A5方管立柱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型材钢+冷轧镀锌板</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20kW立柱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40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椭圆面板遮阳罩</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顶盖蓝透防雨罩1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顶盖蓝透防雨罩2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国网面板遮阳罩</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A6LOGO面板</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V2G检测箱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ABS+GF</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柜体门板</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充电设备改造安装板及配套安装螺丝</w:t>
            </w:r>
          </w:p>
        </w:tc>
        <w:tc>
          <w:tcPr>
            <w:tcW w:w="1108" w:type="pct"/>
            <w:tcBorders>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tcBorders>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移动储能仓</w:t>
            </w:r>
          </w:p>
        </w:tc>
        <w:tc>
          <w:tcPr>
            <w:tcW w:w="1108"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应急舱</w:t>
            </w:r>
          </w:p>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整流柜1</w:t>
            </w:r>
          </w:p>
        </w:tc>
        <w:tc>
          <w:tcPr>
            <w:tcW w:w="1108" w:type="pct"/>
            <w:tcBorders>
              <w:top w:val="single" w:color="auto" w:sz="4" w:space="0"/>
              <w:bottom w:val="single" w:color="auto" w:sz="4" w:space="0"/>
            </w:tcBorders>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kern w:val="0"/>
                <w:sz w:val="21"/>
                <w:szCs w:val="21"/>
                <w:highlight w:val="none"/>
              </w:rPr>
              <w:t>900≤宽≤1200,900≤深≤1100,1700≤高≤1900</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应急舱</w:t>
            </w:r>
          </w:p>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整流柜2</w:t>
            </w:r>
          </w:p>
        </w:tc>
        <w:tc>
          <w:tcPr>
            <w:tcW w:w="1108" w:type="pct"/>
            <w:tcBorders>
              <w:top w:val="single" w:color="auto" w:sz="4" w:space="0"/>
              <w:bottom w:val="single" w:color="auto" w:sz="4" w:space="0"/>
            </w:tcBorders>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kern w:val="0"/>
                <w:sz w:val="21"/>
                <w:szCs w:val="21"/>
                <w:highlight w:val="none"/>
              </w:rPr>
              <w:t>1300≤宽≤1500,600≤深≤800,1700≤高≤1900</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应急舱</w:t>
            </w:r>
          </w:p>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整流柜3</w:t>
            </w:r>
          </w:p>
        </w:tc>
        <w:tc>
          <w:tcPr>
            <w:tcW w:w="1108" w:type="pct"/>
            <w:tcBorders>
              <w:top w:val="single" w:color="auto" w:sz="4" w:space="0"/>
              <w:bottom w:val="single" w:color="auto" w:sz="4" w:space="0"/>
            </w:tcBorders>
            <w:vAlign w:val="center"/>
          </w:tcPr>
          <w:p>
            <w:pPr>
              <w:widowControl/>
              <w:snapToGrid w:val="0"/>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1600≤宽≤1900,600≤深≤800,1700≤高≤1900</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直流Chaoji分体桩</w:t>
            </w:r>
          </w:p>
        </w:tc>
        <w:tc>
          <w:tcPr>
            <w:tcW w:w="1108"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400≤宽≤600,400≤深≤600,1700≤高≤1900</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restart"/>
            <w:vAlign w:val="center"/>
          </w:tcPr>
          <w:p>
            <w:pPr>
              <w:snapToGrid w:val="0"/>
              <w:jc w:val="center"/>
              <w:rPr>
                <w:rFonts w:hint="eastAsia" w:ascii="仿宋" w:hAnsi="仿宋" w:eastAsia="仿宋" w:cs="仿宋"/>
                <w:kern w:val="0"/>
                <w:sz w:val="21"/>
                <w:szCs w:val="21"/>
                <w:highlight w:val="none"/>
              </w:rPr>
            </w:pPr>
          </w:p>
          <w:p>
            <w:pPr>
              <w:snapToGrid w:val="0"/>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充电设备屏柜体采购项目（包二）</w:t>
            </w: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720kW分体户外充电柜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restart"/>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接到供货通知后20日内</w:t>
            </w:r>
          </w:p>
        </w:tc>
        <w:tc>
          <w:tcPr>
            <w:tcW w:w="334" w:type="pct"/>
            <w:vMerge w:val="restart"/>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5年</w:t>
            </w:r>
          </w:p>
        </w:tc>
        <w:tc>
          <w:tcPr>
            <w:tcW w:w="354" w:type="pct"/>
            <w:vMerge w:val="restart"/>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买方指定地点地面交货</w:t>
            </w:r>
          </w:p>
        </w:tc>
        <w:tc>
          <w:tcPr>
            <w:tcW w:w="1004" w:type="dxa"/>
            <w:vMerge w:val="restart"/>
            <w:vAlign w:val="center"/>
          </w:tcPr>
          <w:p>
            <w:pPr>
              <w:widowControl/>
              <w:snapToGrid w:val="0"/>
              <w:jc w:val="center"/>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rPr>
              <w:t>厂商要求</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制造商</w:t>
            </w:r>
            <w:r>
              <w:rPr>
                <w:rFonts w:hint="eastAsia" w:ascii="仿宋" w:hAnsi="仿宋" w:eastAsia="仿宋" w:cs="仿宋"/>
                <w:sz w:val="21"/>
                <w:szCs w:val="21"/>
                <w:highlight w:val="none"/>
                <w:lang w:eastAsia="zh-CN"/>
              </w:rPr>
              <w:t>；</w:t>
            </w:r>
          </w:p>
          <w:p>
            <w:pPr>
              <w:widowControl/>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2.</w:t>
            </w:r>
            <w:r>
              <w:rPr>
                <w:rFonts w:hint="eastAsia" w:ascii="仿宋" w:hAnsi="仿宋" w:eastAsia="仿宋" w:cs="仿宋"/>
                <w:sz w:val="21"/>
                <w:szCs w:val="21"/>
                <w:highlight w:val="none"/>
              </w:rPr>
              <w:t>认证证书</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具有有效的ISO9000系列质量</w:t>
            </w:r>
            <w:r>
              <w:rPr>
                <w:rFonts w:hint="eastAsia" w:ascii="仿宋" w:hAnsi="仿宋" w:eastAsia="仿宋" w:cs="仿宋"/>
                <w:sz w:val="21"/>
                <w:szCs w:val="21"/>
                <w:highlight w:val="none"/>
                <w:lang w:eastAsia="zh-CN"/>
              </w:rPr>
              <w:t>管理</w:t>
            </w:r>
            <w:r>
              <w:rPr>
                <w:rFonts w:hint="eastAsia" w:ascii="仿宋" w:hAnsi="仿宋" w:eastAsia="仿宋" w:cs="仿宋"/>
                <w:sz w:val="21"/>
                <w:szCs w:val="21"/>
                <w:highlight w:val="none"/>
              </w:rPr>
              <w:t>体系认证证书</w:t>
            </w:r>
          </w:p>
        </w:tc>
        <w:tc>
          <w:tcPr>
            <w:tcW w:w="1004" w:type="dxa"/>
            <w:vMerge w:val="restart"/>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业绩要求</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2021年1月1日至招标公告发布日,屏柜体类或者箱体类产品累计销售业绩不少于500万。（时间以合同签订日期为准，须提供用户合同封面、金额页、合同签字盖章页复印件、证明合同内容的合同页、发票复印件、发票查验结果截图）</w:t>
            </w:r>
          </w:p>
        </w:tc>
        <w:tc>
          <w:tcPr>
            <w:tcW w:w="354" w:type="pct"/>
            <w:vMerge w:val="restart"/>
            <w:vAlign w:val="center"/>
          </w:tcPr>
          <w:p>
            <w:pPr>
              <w:widowControl/>
              <w:snapToGrid w:val="0"/>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300kW分体户外充电柜1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300kW分体户外充电柜2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160kW分体户外充电柜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240kW分体户外充电柜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180kW-240kW一体户外柜/分体户外柜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60kW一体化户外充电柜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40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100~160kW一体化户外充电柜-1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75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160~240kW一体化户外充电柜-2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75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300~360kW一体化户外充电柜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4</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户外控制柜（不锈钢）</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不锈钢</w:t>
            </w:r>
          </w:p>
          <w:p>
            <w:pPr>
              <w:snapToGrid w:val="0"/>
              <w:jc w:val="center"/>
              <w:rPr>
                <w:rFonts w:hint="eastAsia" w:ascii="仿宋" w:hAnsi="仿宋" w:eastAsia="仿宋" w:cs="仿宋"/>
                <w:sz w:val="21"/>
                <w:szCs w:val="21"/>
                <w:highlight w:val="none"/>
              </w:rPr>
            </w:pP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户外通讯柜1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户外通讯柜2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20kW一体化户外充电柜</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40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直流户外充电桩1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直流户外充电桩2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交流户外充电桩（壁挂1）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交流户外充电桩（壁挂2）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交流户外充电桩（立式1）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交流户外充电桩（立式2）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光伏智能开关户外机箱1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不锈钢304</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光伏智能开关户外机箱2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不锈钢304</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开关模块户外机箱1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面板：</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外壳及内部框架：</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开关模块户外机箱2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面板：</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外壳及内部框架：</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覆铝锌板（或不锈钢）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snapToGrid w:val="0"/>
              <w:jc w:val="center"/>
              <w:rPr>
                <w:rFonts w:hint="eastAsia" w:ascii="仿宋" w:hAnsi="仿宋" w:eastAsia="仿宋" w:cs="仿宋"/>
                <w:kern w:val="0"/>
                <w:sz w:val="21"/>
                <w:szCs w:val="21"/>
                <w:highlight w:val="none"/>
              </w:rPr>
            </w:pPr>
          </w:p>
        </w:tc>
        <w:tc>
          <w:tcPr>
            <w:tcW w:w="720"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装置壳体</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冷轧镀锌板（或不锈钢）</w:t>
            </w:r>
          </w:p>
        </w:tc>
        <w:tc>
          <w:tcPr>
            <w:tcW w:w="201" w:type="pct"/>
            <w:vAlign w:val="center"/>
          </w:tcPr>
          <w:p>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面</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A6壁挂板</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A6圆管立柱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型材钢+冷轧镀锌板</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A6带遮阳</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方形立柱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A6有序</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转接板</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铝合金</w:t>
            </w:r>
          </w:p>
          <w:p>
            <w:pPr>
              <w:snapToGrid w:val="0"/>
              <w:jc w:val="center"/>
              <w:rPr>
                <w:rFonts w:hint="eastAsia" w:ascii="仿宋" w:hAnsi="仿宋" w:eastAsia="仿宋" w:cs="仿宋"/>
                <w:sz w:val="21"/>
                <w:szCs w:val="21"/>
                <w:highlight w:val="none"/>
              </w:rPr>
            </w:pP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15</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A5方管立柱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型材钢+冷轧镀锌板</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20kW立柱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20</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椭圆面板遮阳罩</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顶盖蓝透防雨罩1</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顶盖蓝透防雨罩2</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国网面板遮阳罩</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A6LOGO面板</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聚碳酸酯PC</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V2G检测箱</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ABS+GF</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柜体门板</w:t>
            </w:r>
          </w:p>
        </w:tc>
        <w:tc>
          <w:tcPr>
            <w:tcW w:w="1108"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充电设备改造安装板及配套安装螺丝</w:t>
            </w:r>
          </w:p>
        </w:tc>
        <w:tc>
          <w:tcPr>
            <w:tcW w:w="1108" w:type="pct"/>
            <w:tcBorders>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冷轧镀锌板喷涂</w:t>
            </w:r>
          </w:p>
        </w:tc>
        <w:tc>
          <w:tcPr>
            <w:tcW w:w="201" w:type="pct"/>
            <w:tcBorders>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移动储能仓</w:t>
            </w:r>
          </w:p>
        </w:tc>
        <w:tc>
          <w:tcPr>
            <w:tcW w:w="1108"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外壳：冷轧镀锌板喷涂</w:t>
            </w:r>
          </w:p>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内部框架：覆铝锌板（或不锈钢）</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套</w:t>
            </w: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应急舱</w:t>
            </w:r>
          </w:p>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整流柜1</w:t>
            </w:r>
          </w:p>
        </w:tc>
        <w:tc>
          <w:tcPr>
            <w:tcW w:w="1108" w:type="pct"/>
            <w:tcBorders>
              <w:top w:val="single" w:color="auto" w:sz="4" w:space="0"/>
              <w:bottom w:val="single" w:color="auto" w:sz="4" w:space="0"/>
            </w:tcBorders>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kern w:val="0"/>
                <w:sz w:val="21"/>
                <w:szCs w:val="21"/>
                <w:highlight w:val="none"/>
              </w:rPr>
              <w:t>900≤宽≤1200,900≤深≤1100,1700≤高≤1900</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应急舱</w:t>
            </w:r>
          </w:p>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整流柜2</w:t>
            </w:r>
          </w:p>
        </w:tc>
        <w:tc>
          <w:tcPr>
            <w:tcW w:w="1108" w:type="pct"/>
            <w:tcBorders>
              <w:top w:val="single" w:color="auto" w:sz="4" w:space="0"/>
              <w:bottom w:val="single" w:color="auto" w:sz="4" w:space="0"/>
            </w:tcBorders>
            <w:vAlign w:val="center"/>
          </w:tcPr>
          <w:p>
            <w:pPr>
              <w:widowControl/>
              <w:snapToGrid w:val="0"/>
              <w:jc w:val="center"/>
              <w:rPr>
                <w:rFonts w:hint="eastAsia" w:ascii="仿宋" w:hAnsi="仿宋" w:eastAsia="仿宋" w:cs="仿宋"/>
                <w:sz w:val="21"/>
                <w:szCs w:val="21"/>
                <w:highlight w:val="none"/>
              </w:rPr>
            </w:pPr>
            <w:r>
              <w:rPr>
                <w:rFonts w:hint="eastAsia" w:ascii="仿宋" w:hAnsi="仿宋" w:eastAsia="仿宋" w:cs="仿宋"/>
                <w:kern w:val="0"/>
                <w:sz w:val="21"/>
                <w:szCs w:val="21"/>
                <w:highlight w:val="none"/>
              </w:rPr>
              <w:t>1300≤宽≤1500,600≤深≤800,1700≤高≤1900</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应急舱</w:t>
            </w:r>
          </w:p>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整流柜3</w:t>
            </w:r>
          </w:p>
        </w:tc>
        <w:tc>
          <w:tcPr>
            <w:tcW w:w="1108" w:type="pct"/>
            <w:tcBorders>
              <w:top w:val="single" w:color="auto" w:sz="4" w:space="0"/>
              <w:bottom w:val="single" w:color="auto" w:sz="4" w:space="0"/>
            </w:tcBorders>
            <w:vAlign w:val="center"/>
          </w:tcPr>
          <w:p>
            <w:pPr>
              <w:widowControl/>
              <w:snapToGrid w:val="0"/>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1600≤宽≤1900,600≤深≤800,1700≤高≤1900</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511" w:type="pct"/>
            <w:vMerge w:val="continue"/>
            <w:vAlign w:val="center"/>
          </w:tcPr>
          <w:p>
            <w:pPr>
              <w:widowControl/>
              <w:snapToGrid w:val="0"/>
              <w:jc w:val="center"/>
              <w:rPr>
                <w:rFonts w:hint="eastAsia" w:ascii="仿宋" w:hAnsi="仿宋" w:eastAsia="仿宋" w:cs="仿宋"/>
                <w:kern w:val="0"/>
                <w:sz w:val="21"/>
                <w:szCs w:val="21"/>
                <w:highlight w:val="none"/>
              </w:rPr>
            </w:pPr>
          </w:p>
        </w:tc>
        <w:tc>
          <w:tcPr>
            <w:tcW w:w="720" w:type="pct"/>
            <w:vAlign w:val="center"/>
          </w:tcPr>
          <w:p>
            <w:pPr>
              <w:widowControl/>
              <w:jc w:val="center"/>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直流Chaoji分体桩</w:t>
            </w:r>
          </w:p>
        </w:tc>
        <w:tc>
          <w:tcPr>
            <w:tcW w:w="1108"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400≤宽≤600,400≤深≤600,1700≤高≤1900</w:t>
            </w:r>
          </w:p>
        </w:tc>
        <w:tc>
          <w:tcPr>
            <w:tcW w:w="201" w:type="pct"/>
            <w:tcBorders>
              <w:top w:val="single" w:color="auto" w:sz="4" w:space="0"/>
              <w:bottom w:val="single" w:color="auto" w:sz="4" w:space="0"/>
            </w:tcBorders>
            <w:vAlign w:val="center"/>
          </w:tcPr>
          <w:p>
            <w:pPr>
              <w:snapToGrid w:val="0"/>
              <w:jc w:val="center"/>
              <w:rPr>
                <w:rFonts w:hint="eastAsia" w:ascii="仿宋" w:hAnsi="仿宋" w:eastAsia="仿宋" w:cs="仿宋"/>
                <w:sz w:val="21"/>
                <w:szCs w:val="21"/>
                <w:highlight w:val="none"/>
              </w:rPr>
            </w:pPr>
          </w:p>
        </w:tc>
        <w:tc>
          <w:tcPr>
            <w:tcW w:w="392" w:type="pct"/>
            <w:tcBorders>
              <w:top w:val="single" w:color="auto" w:sz="4" w:space="0"/>
              <w:left w:val="nil"/>
              <w:bottom w:val="single" w:color="auto" w:sz="4" w:space="0"/>
              <w:right w:val="nil"/>
            </w:tcBorders>
            <w:shd w:val="clear" w:color="auto" w:fill="auto"/>
            <w:vAlign w:val="center"/>
          </w:tcPr>
          <w:p>
            <w:pPr>
              <w:snapToGrid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6</w:t>
            </w:r>
          </w:p>
        </w:tc>
        <w:tc>
          <w:tcPr>
            <w:tcW w:w="314" w:type="pct"/>
            <w:vMerge w:val="continue"/>
            <w:vAlign w:val="center"/>
          </w:tcPr>
          <w:p>
            <w:pPr>
              <w:widowControl/>
              <w:snapToGrid w:val="0"/>
              <w:jc w:val="center"/>
              <w:rPr>
                <w:rFonts w:hint="eastAsia" w:ascii="仿宋" w:hAnsi="仿宋" w:eastAsia="仿宋" w:cs="仿宋"/>
                <w:sz w:val="21"/>
                <w:szCs w:val="21"/>
                <w:highlight w:val="none"/>
              </w:rPr>
            </w:pPr>
          </w:p>
        </w:tc>
        <w:tc>
          <w:tcPr>
            <w:tcW w:w="33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c>
          <w:tcPr>
            <w:tcW w:w="354" w:type="pct"/>
            <w:vMerge w:val="continue"/>
            <w:vAlign w:val="center"/>
          </w:tcPr>
          <w:p>
            <w:pPr>
              <w:widowControl/>
              <w:snapToGrid w:val="0"/>
              <w:jc w:val="center"/>
              <w:rPr>
                <w:rFonts w:hint="eastAsia" w:ascii="仿宋" w:hAnsi="仿宋" w:eastAsia="仿宋" w:cs="仿宋"/>
                <w:sz w:val="21"/>
                <w:szCs w:val="21"/>
                <w:highlight w:val="none"/>
              </w:rPr>
            </w:pPr>
          </w:p>
        </w:tc>
      </w:tr>
    </w:tbl>
    <w:p>
      <w:pPr>
        <w:pStyle w:val="20"/>
        <w:snapToGrid w:val="0"/>
        <w:ind w:left="0" w:leftChars="0" w:firstLine="0" w:firstLineChars="0"/>
        <w:rPr>
          <w:rFonts w:hint="eastAsia" w:ascii="仿宋" w:hAnsi="仿宋" w:eastAsia="仿宋" w:cs="仿宋"/>
          <w:color w:val="000000" w:themeColor="text1"/>
          <w:sz w:val="24"/>
          <w:szCs w:val="24"/>
          <w:highlight w:val="none"/>
        </w:rPr>
      </w:pPr>
    </w:p>
    <w:p>
      <w:pPr>
        <w:pStyle w:val="20"/>
        <w:snapToGrid w:val="0"/>
        <w:ind w:left="0" w:leftChars="0" w:firstLine="0" w:firstLineChars="0"/>
        <w:rPr>
          <w:rFonts w:hint="eastAsia" w:ascii="仿宋" w:hAnsi="仿宋" w:eastAsia="仿宋" w:cs="仿宋"/>
          <w:color w:val="000000"/>
          <w:sz w:val="24"/>
          <w:szCs w:val="24"/>
          <w:highlight w:val="none"/>
        </w:rPr>
      </w:pPr>
      <w:r>
        <w:rPr>
          <w:rFonts w:hint="eastAsia" w:ascii="仿宋" w:hAnsi="仿宋" w:eastAsia="仿宋" w:cs="仿宋"/>
          <w:color w:val="000000" w:themeColor="text1"/>
          <w:sz w:val="24"/>
          <w:szCs w:val="24"/>
          <w:highlight w:val="none"/>
        </w:rPr>
        <w:t>具体供货不局限于上述产品。应包括上述产品相关配件，类似升级产品。</w:t>
      </w:r>
    </w:p>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备注：</w:t>
      </w:r>
    </w:p>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2.投标文件中提供的证明材料复印件应复印清晰、可辨认且不得遮盖、涂抹，否则视为无效。</w:t>
      </w:r>
    </w:p>
    <w:p>
      <w:pPr>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3.</w:t>
      </w:r>
      <w:r>
        <w:rPr>
          <w:rFonts w:hint="eastAsia" w:ascii="仿宋" w:hAnsi="仿宋" w:eastAsia="仿宋" w:cs="仿宋"/>
          <w:b/>
          <w:bCs/>
          <w:sz w:val="24"/>
          <w:szCs w:val="24"/>
          <w:highlight w:val="none"/>
        </w:rPr>
        <w:t>本批次采购业绩均应出具与项目建设单位直接签订并执行的合同关键部分（包括封面、合同协议书、签署页、承包范围（工作内容）及其它关键条款等）（转包、分包合同不予认可）和发票原件影印件（至少提供预付款、进度款、结算款三种发票中的一种，发票扫描件需清晰可辨，发票二维码区不得遮挡、涂抹，如因扫描件模糊无法查验真伪的，该业绩可能不被认可）作为支撑材料。业绩认定时间</w:t>
      </w:r>
      <w:r>
        <w:rPr>
          <w:rFonts w:hint="eastAsia" w:ascii="仿宋" w:hAnsi="仿宋" w:eastAsia="仿宋" w:cs="仿宋"/>
          <w:b/>
          <w:bCs/>
          <w:color w:val="FF0000"/>
          <w:sz w:val="24"/>
          <w:szCs w:val="24"/>
          <w:highlight w:val="none"/>
        </w:rPr>
        <w:t>以合同签订时间为准</w:t>
      </w:r>
      <w:r>
        <w:rPr>
          <w:rFonts w:hint="eastAsia" w:ascii="仿宋" w:hAnsi="仿宋" w:eastAsia="仿宋" w:cs="仿宋"/>
          <w:b/>
          <w:bCs/>
          <w:sz w:val="24"/>
          <w:szCs w:val="24"/>
          <w:highlight w:val="none"/>
        </w:rPr>
        <w:t>，若合同无签署日期，且无其他可以证明合同签署日期的文件，则该项业绩无效。若合同上存在多个签署日期的，以最后一方签署的时间为准。业绩发票影印件后须附通过国家税务总局全国增值税发票查验平台（网址：</w:t>
      </w:r>
      <w:r>
        <w:rPr>
          <w:rFonts w:hint="eastAsia" w:ascii="仿宋" w:hAnsi="仿宋" w:eastAsia="仿宋" w:cs="仿宋"/>
          <w:b/>
          <w:bCs/>
          <w:sz w:val="24"/>
          <w:szCs w:val="24"/>
          <w:highlight w:val="none"/>
        </w:rPr>
        <w:fldChar w:fldCharType="begin"/>
      </w:r>
      <w:r>
        <w:rPr>
          <w:rFonts w:hint="eastAsia" w:ascii="仿宋" w:hAnsi="仿宋" w:eastAsia="仿宋" w:cs="仿宋"/>
          <w:b/>
          <w:bCs/>
          <w:sz w:val="24"/>
          <w:szCs w:val="24"/>
          <w:highlight w:val="none"/>
        </w:rPr>
        <w:instrText xml:space="preserve"> HYPERLINK "https://inv-veri.chinatax.gov.cn/）查验的发票结果截图，\“一发票一截图\”，发票开票日期不得晚于采购公告发布时间。未提供发票或未提供对应发票查验结果截图的或发票开标日期晚于采购公告发布时间的业绩不予认可。所有业绩支撑证明材料内容须保证清晰、可辨认且不得遮盖、涂抹。" </w:instrText>
      </w:r>
      <w:r>
        <w:rPr>
          <w:rFonts w:hint="eastAsia" w:ascii="仿宋" w:hAnsi="仿宋" w:eastAsia="仿宋" w:cs="仿宋"/>
          <w:b/>
          <w:bCs/>
          <w:sz w:val="24"/>
          <w:szCs w:val="24"/>
          <w:highlight w:val="none"/>
        </w:rPr>
        <w:fldChar w:fldCharType="separate"/>
      </w:r>
      <w:r>
        <w:rPr>
          <w:rStyle w:val="12"/>
          <w:rFonts w:hint="eastAsia" w:ascii="仿宋" w:hAnsi="仿宋" w:eastAsia="仿宋" w:cs="仿宋"/>
          <w:b/>
          <w:bCs/>
          <w:sz w:val="24"/>
          <w:szCs w:val="24"/>
          <w:highlight w:val="none"/>
        </w:rPr>
        <w:t>https://inv-veri.chinatax.gov.cn/）查验的发票结果截图，“一发票一截图”，发票开票日期不得晚于采购公告发布时间。未提供发票或未提供对应发票查验结果截图的或发票开标日期晚于采购公告发布时间的业绩不予认可。所有业绩支撑证明材料内容须保证清晰、可辨认且不得遮盖、涂抹。</w:t>
      </w:r>
      <w:r>
        <w:rPr>
          <w:rStyle w:val="12"/>
          <w:rFonts w:hint="eastAsia" w:ascii="仿宋" w:hAnsi="仿宋" w:eastAsia="仿宋" w:cs="仿宋"/>
          <w:b/>
          <w:bCs/>
          <w:sz w:val="24"/>
          <w:szCs w:val="24"/>
          <w:highlight w:val="none"/>
        </w:rPr>
        <w:br w:type="page"/>
      </w:r>
      <w:r>
        <w:rPr>
          <w:rFonts w:hint="eastAsia" w:ascii="仿宋" w:hAnsi="仿宋" w:eastAsia="仿宋" w:cs="仿宋"/>
          <w:b/>
          <w:bCs/>
          <w:sz w:val="24"/>
          <w:szCs w:val="24"/>
          <w:highlight w:val="none"/>
        </w:rPr>
        <w:fldChar w:fldCharType="end"/>
      </w:r>
    </w:p>
    <w:p>
      <w:pPr>
        <w:spacing w:line="400" w:lineRule="exact"/>
        <w:rPr>
          <w:rFonts w:hint="eastAsia" w:ascii="仿宋" w:hAnsi="仿宋" w:eastAsia="仿宋" w:cs="仿宋"/>
          <w:b/>
          <w:bCs w:val="0"/>
          <w:i w:val="0"/>
          <w:iCs w:val="0"/>
          <w:sz w:val="21"/>
          <w:szCs w:val="21"/>
          <w:highlight w:val="none"/>
          <w:u w:val="none"/>
          <w:lang w:val="en-US" w:eastAsia="zh-CN"/>
        </w:rPr>
      </w:pPr>
      <w:r>
        <w:rPr>
          <w:rFonts w:hint="eastAsia" w:ascii="仿宋" w:hAnsi="仿宋" w:eastAsia="仿宋" w:cs="仿宋"/>
          <w:b/>
          <w:bCs w:val="0"/>
          <w:i w:val="0"/>
          <w:iCs w:val="0"/>
          <w:sz w:val="21"/>
          <w:szCs w:val="21"/>
          <w:highlight w:val="none"/>
          <w:u w:val="none"/>
          <w:lang w:val="en-US" w:eastAsia="zh-CN"/>
        </w:rPr>
        <w:t>分标三：充电站雨棚及光伏组件采购项目</w:t>
      </w:r>
    </w:p>
    <w:tbl>
      <w:tblPr>
        <w:tblStyle w:val="8"/>
        <w:tblW w:w="15736" w:type="dxa"/>
        <w:tblInd w:w="-7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3"/>
        <w:gridCol w:w="2249"/>
        <w:gridCol w:w="2607"/>
        <w:gridCol w:w="852"/>
        <w:gridCol w:w="803"/>
        <w:gridCol w:w="888"/>
        <w:gridCol w:w="901"/>
        <w:gridCol w:w="707"/>
        <w:gridCol w:w="2179"/>
        <w:gridCol w:w="1802"/>
        <w:gridCol w:w="1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1433" w:type="dxa"/>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项目名称</w:t>
            </w:r>
          </w:p>
        </w:tc>
        <w:tc>
          <w:tcPr>
            <w:tcW w:w="2249" w:type="dxa"/>
            <w:tcBorders>
              <w:bottom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物资名称</w:t>
            </w:r>
          </w:p>
        </w:tc>
        <w:tc>
          <w:tcPr>
            <w:tcW w:w="2607" w:type="dxa"/>
            <w:tcBorders>
              <w:bottom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主要技术要求</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单位</w:t>
            </w:r>
          </w:p>
        </w:tc>
        <w:tc>
          <w:tcPr>
            <w:tcW w:w="803"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数量</w:t>
            </w:r>
          </w:p>
        </w:tc>
        <w:tc>
          <w:tcPr>
            <w:tcW w:w="888"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交货日期</w:t>
            </w:r>
          </w:p>
        </w:tc>
        <w:tc>
          <w:tcPr>
            <w:tcW w:w="901" w:type="dxa"/>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质保期</w:t>
            </w:r>
          </w:p>
        </w:tc>
        <w:tc>
          <w:tcPr>
            <w:tcW w:w="70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交货地点</w:t>
            </w:r>
          </w:p>
        </w:tc>
        <w:tc>
          <w:tcPr>
            <w:tcW w:w="2179" w:type="dxa"/>
            <w:shd w:val="clear" w:color="auto" w:fill="auto"/>
            <w:vAlign w:val="center"/>
          </w:tcPr>
          <w:p>
            <w:pPr>
              <w:widowControl/>
              <w:jc w:val="center"/>
              <w:rPr>
                <w:rFonts w:hint="eastAsia" w:ascii="仿宋" w:hAnsi="仿宋" w:eastAsia="仿宋" w:cs="仿宋"/>
                <w:b/>
                <w:bCs/>
                <w:kern w:val="0"/>
                <w:sz w:val="21"/>
                <w:szCs w:val="21"/>
                <w:highlight w:val="none"/>
              </w:rPr>
            </w:pPr>
            <w:r>
              <w:rPr>
                <w:rFonts w:hint="eastAsia" w:ascii="仿宋" w:hAnsi="仿宋" w:eastAsia="仿宋" w:cs="仿宋"/>
                <w:b/>
                <w:bCs/>
                <w:color w:val="auto"/>
                <w:kern w:val="0"/>
                <w:sz w:val="24"/>
                <w:szCs w:val="24"/>
                <w:highlight w:val="none"/>
              </w:rPr>
              <w:t>专用资质要求</w:t>
            </w:r>
          </w:p>
        </w:tc>
        <w:tc>
          <w:tcPr>
            <w:tcW w:w="1802" w:type="dxa"/>
            <w:shd w:val="clear" w:color="auto" w:fill="auto"/>
            <w:vAlign w:val="center"/>
          </w:tcPr>
          <w:p>
            <w:pPr>
              <w:widowControl/>
              <w:jc w:val="center"/>
              <w:rPr>
                <w:rFonts w:hint="eastAsia" w:ascii="仿宋" w:hAnsi="仿宋" w:eastAsia="仿宋" w:cs="仿宋"/>
                <w:b/>
                <w:bCs/>
                <w:kern w:val="0"/>
                <w:sz w:val="21"/>
                <w:szCs w:val="21"/>
                <w:highlight w:val="none"/>
              </w:rPr>
            </w:pPr>
            <w:r>
              <w:rPr>
                <w:rFonts w:hint="eastAsia" w:ascii="仿宋" w:hAnsi="仿宋" w:eastAsia="仿宋" w:cs="仿宋"/>
                <w:b/>
                <w:bCs/>
                <w:color w:val="auto"/>
                <w:kern w:val="0"/>
                <w:sz w:val="24"/>
                <w:szCs w:val="24"/>
                <w:highlight w:val="none"/>
              </w:rPr>
              <w:t>专用</w:t>
            </w:r>
            <w:r>
              <w:rPr>
                <w:rFonts w:hint="eastAsia" w:ascii="仿宋" w:hAnsi="仿宋" w:eastAsia="仿宋" w:cs="仿宋"/>
                <w:b/>
                <w:bCs/>
                <w:color w:val="auto"/>
                <w:kern w:val="0"/>
                <w:sz w:val="24"/>
                <w:szCs w:val="24"/>
                <w:highlight w:val="none"/>
                <w:lang w:val="en-US" w:eastAsia="zh-CN"/>
              </w:rPr>
              <w:t>业绩</w:t>
            </w:r>
            <w:r>
              <w:rPr>
                <w:rFonts w:hint="eastAsia" w:ascii="仿宋" w:hAnsi="仿宋" w:eastAsia="仿宋" w:cs="仿宋"/>
                <w:b/>
                <w:bCs/>
                <w:color w:val="auto"/>
                <w:kern w:val="0"/>
                <w:sz w:val="24"/>
                <w:szCs w:val="24"/>
                <w:highlight w:val="none"/>
              </w:rPr>
              <w:t>要求</w:t>
            </w:r>
          </w:p>
        </w:tc>
        <w:tc>
          <w:tcPr>
            <w:tcW w:w="1315" w:type="dxa"/>
            <w:shd w:val="clear" w:color="auto" w:fill="auto"/>
            <w:vAlign w:val="center"/>
          </w:tcPr>
          <w:p>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保证金金额</w:t>
            </w:r>
          </w:p>
          <w:p>
            <w:pPr>
              <w:widowControl/>
              <w:jc w:val="center"/>
              <w:rPr>
                <w:rFonts w:hint="eastAsia" w:ascii="仿宋" w:hAnsi="仿宋" w:eastAsia="仿宋" w:cs="仿宋"/>
                <w:b/>
                <w:bCs/>
                <w:kern w:val="0"/>
                <w:sz w:val="21"/>
                <w:szCs w:val="21"/>
                <w:highlight w:val="none"/>
              </w:rPr>
            </w:pPr>
            <w:r>
              <w:rPr>
                <w:rFonts w:hint="eastAsia" w:ascii="仿宋" w:hAnsi="仿宋" w:eastAsia="仿宋" w:cs="仿宋"/>
                <w:b/>
                <w:bCs/>
                <w:color w:val="auto"/>
                <w:kern w:val="0"/>
                <w:sz w:val="24"/>
                <w:szCs w:val="24"/>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6" w:hRule="atLeast"/>
        </w:trPr>
        <w:tc>
          <w:tcPr>
            <w:tcW w:w="1433" w:type="dxa"/>
            <w:vMerge w:val="restart"/>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sz w:val="21"/>
                <w:szCs w:val="21"/>
                <w:highlight w:val="none"/>
              </w:rPr>
              <w:t>充电站雨棚及光伏组件采购项目</w:t>
            </w:r>
          </w:p>
        </w:tc>
        <w:tc>
          <w:tcPr>
            <w:tcW w:w="22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标准车位钢构膜结构雨棚</w:t>
            </w:r>
          </w:p>
        </w:tc>
        <w:tc>
          <w:tcPr>
            <w:tcW w:w="26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sz w:val="21"/>
                <w:szCs w:val="21"/>
                <w:highlight w:val="none"/>
              </w:rPr>
            </w:pPr>
            <w:r>
              <w:rPr>
                <w:rFonts w:hint="eastAsia" w:ascii="仿宋" w:hAnsi="仿宋" w:eastAsia="仿宋" w:cs="仿宋"/>
                <w:color w:val="000000"/>
                <w:sz w:val="21"/>
                <w:szCs w:val="21"/>
                <w:highlight w:val="none"/>
              </w:rPr>
              <w:t>标准车位钢构膜结构雨棚，单列排布，主体结构采用钢结构样式，膜布采用PVC膜材，含雨棚基础及安装，具体尺寸样式见技术要求。</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kern w:val="0"/>
                <w:sz w:val="21"/>
                <w:szCs w:val="21"/>
                <w:highlight w:val="none"/>
              </w:rPr>
              <w:t>m²</w:t>
            </w:r>
          </w:p>
        </w:tc>
        <w:tc>
          <w:tcPr>
            <w:tcW w:w="8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210</w:t>
            </w:r>
          </w:p>
        </w:tc>
        <w:tc>
          <w:tcPr>
            <w:tcW w:w="888"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kern w:val="0"/>
                <w:sz w:val="21"/>
                <w:szCs w:val="21"/>
                <w:highlight w:val="none"/>
              </w:rPr>
              <w:t>接到供货通知后45日</w:t>
            </w:r>
          </w:p>
        </w:tc>
        <w:tc>
          <w:tcPr>
            <w:tcW w:w="901"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kern w:val="0"/>
                <w:sz w:val="21"/>
                <w:szCs w:val="21"/>
                <w:highlight w:val="none"/>
              </w:rPr>
              <w:t>36个月(</w:t>
            </w:r>
            <w:r>
              <w:rPr>
                <w:rFonts w:hint="eastAsia" w:ascii="仿宋" w:hAnsi="仿宋" w:eastAsia="仿宋" w:cs="仿宋"/>
                <w:sz w:val="21"/>
                <w:szCs w:val="21"/>
                <w:highlight w:val="none"/>
              </w:rPr>
              <w:t>光伏组件质保10年)</w:t>
            </w:r>
          </w:p>
        </w:tc>
        <w:tc>
          <w:tcPr>
            <w:tcW w:w="707"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kern w:val="0"/>
                <w:sz w:val="21"/>
                <w:szCs w:val="21"/>
                <w:highlight w:val="none"/>
              </w:rPr>
              <w:t>买方指定仓库地面交货</w:t>
            </w:r>
          </w:p>
        </w:tc>
        <w:tc>
          <w:tcPr>
            <w:tcW w:w="2179"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highlight w:val="none"/>
                <w:lang w:eastAsia="zh-CN"/>
              </w:rPr>
            </w:pPr>
            <w:r>
              <w:rPr>
                <w:rFonts w:hint="eastAsia" w:ascii="仿宋" w:hAnsi="仿宋" w:eastAsia="仿宋" w:cs="仿宋"/>
                <w:kern w:val="0"/>
                <w:sz w:val="21"/>
                <w:szCs w:val="21"/>
                <w:highlight w:val="none"/>
                <w:lang w:val="en-US" w:eastAsia="zh-CN"/>
              </w:rPr>
              <w:t>1.</w:t>
            </w:r>
            <w:r>
              <w:rPr>
                <w:rFonts w:hint="eastAsia" w:ascii="仿宋" w:hAnsi="仿宋" w:eastAsia="仿宋" w:cs="仿宋"/>
                <w:kern w:val="0"/>
                <w:sz w:val="21"/>
                <w:szCs w:val="21"/>
                <w:highlight w:val="none"/>
              </w:rPr>
              <w:t>厂商要求</w:t>
            </w:r>
            <w:r>
              <w:rPr>
                <w:rFonts w:hint="eastAsia" w:ascii="仿宋" w:hAnsi="仿宋" w:eastAsia="仿宋" w:cs="仿宋"/>
                <w:kern w:val="0"/>
                <w:sz w:val="21"/>
                <w:szCs w:val="21"/>
                <w:highlight w:val="none"/>
                <w:lang w:eastAsia="zh-CN"/>
              </w:rPr>
              <w:t>：</w:t>
            </w:r>
            <w:r>
              <w:rPr>
                <w:rFonts w:hint="eastAsia" w:ascii="仿宋" w:hAnsi="仿宋" w:eastAsia="仿宋" w:cs="仿宋"/>
                <w:kern w:val="0"/>
                <w:sz w:val="21"/>
                <w:szCs w:val="21"/>
                <w:highlight w:val="none"/>
              </w:rPr>
              <w:t>制造商或代理商</w:t>
            </w:r>
            <w:r>
              <w:rPr>
                <w:rFonts w:hint="eastAsia" w:ascii="仿宋" w:hAnsi="仿宋" w:eastAsia="仿宋" w:cs="仿宋"/>
                <w:kern w:val="0"/>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lang w:val="en-US" w:eastAsia="zh-CN"/>
              </w:rPr>
              <w:t>2.</w:t>
            </w:r>
            <w:r>
              <w:rPr>
                <w:rFonts w:hint="eastAsia" w:ascii="仿宋" w:hAnsi="仿宋" w:eastAsia="仿宋" w:cs="仿宋"/>
                <w:kern w:val="0"/>
                <w:sz w:val="21"/>
                <w:szCs w:val="21"/>
                <w:highlight w:val="none"/>
              </w:rPr>
              <w:t>认证证书</w:t>
            </w:r>
            <w:r>
              <w:rPr>
                <w:rFonts w:hint="eastAsia" w:ascii="仿宋" w:hAnsi="仿宋" w:eastAsia="仿宋" w:cs="仿宋"/>
                <w:kern w:val="0"/>
                <w:sz w:val="21"/>
                <w:szCs w:val="21"/>
                <w:highlight w:val="none"/>
                <w:lang w:val="en-US" w:eastAsia="zh-CN"/>
              </w:rPr>
              <w:t>:</w:t>
            </w:r>
            <w:r>
              <w:rPr>
                <w:rFonts w:hint="eastAsia" w:ascii="仿宋" w:hAnsi="仿宋" w:eastAsia="仿宋" w:cs="仿宋"/>
                <w:kern w:val="0"/>
                <w:sz w:val="21"/>
                <w:szCs w:val="21"/>
                <w:highlight w:val="none"/>
              </w:rPr>
              <w:t>制造商提供有效的ISO900</w:t>
            </w:r>
            <w:r>
              <w:rPr>
                <w:rFonts w:hint="eastAsia" w:ascii="仿宋" w:hAnsi="仿宋" w:eastAsia="仿宋" w:cs="仿宋"/>
                <w:kern w:val="0"/>
                <w:sz w:val="21"/>
                <w:szCs w:val="21"/>
                <w:highlight w:val="none"/>
                <w:lang w:val="en-US" w:eastAsia="zh-CN"/>
              </w:rPr>
              <w:t>0</w:t>
            </w:r>
            <w:r>
              <w:rPr>
                <w:rFonts w:hint="eastAsia" w:ascii="仿宋" w:hAnsi="仿宋" w:eastAsia="仿宋" w:cs="仿宋"/>
                <w:kern w:val="0"/>
                <w:sz w:val="21"/>
                <w:szCs w:val="21"/>
                <w:highlight w:val="none"/>
              </w:rPr>
              <w:t>系列质量管理体系认证证书，代理商须提供制造商有效的ISO9000系列质量管理体系认证证书；</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lang w:val="en-US" w:eastAsia="zh-CN"/>
              </w:rPr>
              <w:t>3.</w:t>
            </w:r>
            <w:r>
              <w:rPr>
                <w:rFonts w:hint="eastAsia" w:ascii="仿宋" w:hAnsi="仿宋" w:eastAsia="仿宋" w:cs="仿宋"/>
                <w:kern w:val="0"/>
                <w:sz w:val="21"/>
                <w:szCs w:val="21"/>
                <w:highlight w:val="none"/>
              </w:rPr>
              <w:t>具有建设行政主管部门颁发的电力工程施工总承包三级及以上或输变电工程专业承包三级及以上资质，或具有建筑工程施工总承包三级及以上资质；</w:t>
            </w:r>
          </w:p>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4.</w:t>
            </w:r>
            <w:r>
              <w:rPr>
                <w:rFonts w:hint="eastAsia" w:ascii="仿宋" w:hAnsi="仿宋" w:eastAsia="仿宋" w:cs="仿宋"/>
                <w:kern w:val="0"/>
                <w:sz w:val="21"/>
                <w:szCs w:val="21"/>
                <w:highlight w:val="none"/>
              </w:rPr>
              <w:t>备注</w:t>
            </w:r>
            <w:r>
              <w:rPr>
                <w:rFonts w:hint="eastAsia" w:ascii="仿宋" w:hAnsi="仿宋" w:eastAsia="仿宋" w:cs="仿宋"/>
                <w:kern w:val="0"/>
                <w:sz w:val="21"/>
                <w:szCs w:val="21"/>
                <w:highlight w:val="none"/>
                <w:lang w:val="en-US" w:eastAsia="zh-CN"/>
              </w:rPr>
              <w:t>:</w:t>
            </w:r>
            <w:r>
              <w:rPr>
                <w:rFonts w:hint="eastAsia" w:ascii="仿宋" w:hAnsi="仿宋" w:eastAsia="仿宋" w:cs="仿宋"/>
                <w:kern w:val="0"/>
                <w:sz w:val="21"/>
                <w:szCs w:val="21"/>
                <w:highlight w:val="none"/>
              </w:rPr>
              <w:t>代理商需提供光伏组件及膜结构雨棚制造商出具的授权函及质保函</w:t>
            </w:r>
          </w:p>
        </w:tc>
        <w:tc>
          <w:tcPr>
            <w:tcW w:w="1802"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rPr>
              <w:t>业绩要求</w:t>
            </w:r>
            <w:r>
              <w:rPr>
                <w:rFonts w:hint="eastAsia" w:ascii="仿宋" w:hAnsi="仿宋" w:eastAsia="仿宋" w:cs="仿宋"/>
                <w:kern w:val="0"/>
                <w:sz w:val="21"/>
                <w:szCs w:val="21"/>
                <w:highlight w:val="none"/>
                <w:lang w:val="en-US" w:eastAsia="zh-CN"/>
              </w:rPr>
              <w:t>:</w:t>
            </w:r>
            <w:r>
              <w:rPr>
                <w:rFonts w:hint="eastAsia" w:ascii="仿宋" w:hAnsi="仿宋" w:eastAsia="仿宋" w:cs="仿宋"/>
                <w:kern w:val="0"/>
                <w:sz w:val="21"/>
                <w:szCs w:val="21"/>
                <w:highlight w:val="none"/>
              </w:rPr>
              <w:t>投标人2021年1月1日至采购公告发布日内，光伏组件同类产品累计销售或光伏系统工程业绩不少于200万。（时间以合同签订日期为准，须提供用户合同封面、金额页、合同签字盖章页复印件、证明合同内容的合同页、发票复印件、发票查验结果截图）</w:t>
            </w:r>
          </w:p>
        </w:tc>
        <w:tc>
          <w:tcPr>
            <w:tcW w:w="1315"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仿宋" w:hAnsi="仿宋" w:eastAsia="仿宋" w:cs="仿宋"/>
                <w:kern w:val="0"/>
                <w:sz w:val="21"/>
                <w:szCs w:val="21"/>
                <w:highlight w:val="none"/>
                <w:lang w:val="en-US" w:eastAsia="zh-CN"/>
              </w:rPr>
            </w:pPr>
            <w:r>
              <w:rPr>
                <w:rFonts w:hint="eastAsia" w:ascii="仿宋" w:hAnsi="仿宋" w:eastAsia="仿宋" w:cs="仿宋"/>
                <w:kern w:val="0"/>
                <w:sz w:val="21"/>
                <w:szCs w:val="21"/>
                <w:highlight w:val="none"/>
                <w:lang w:val="en-US" w:eastAsia="zh-CN"/>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 w:hRule="atLeast"/>
        </w:trPr>
        <w:tc>
          <w:tcPr>
            <w:tcW w:w="1433"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2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标准车位钢结构光伏雨棚框架（不含光伏板及光伏板安装）</w:t>
            </w:r>
          </w:p>
        </w:tc>
        <w:tc>
          <w:tcPr>
            <w:tcW w:w="26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sz w:val="21"/>
                <w:szCs w:val="21"/>
                <w:highlight w:val="none"/>
              </w:rPr>
            </w:pPr>
            <w:r>
              <w:rPr>
                <w:rFonts w:hint="eastAsia" w:ascii="仿宋" w:hAnsi="仿宋" w:eastAsia="仿宋" w:cs="仿宋"/>
                <w:color w:val="000000"/>
                <w:sz w:val="21"/>
                <w:szCs w:val="21"/>
                <w:highlight w:val="none"/>
              </w:rPr>
              <w:t>标准车位钢构光伏雨棚框架，单列排布，含雨棚框架安装（不含光伏板及光伏板的安装），具体尺寸样式见技术要求。</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kern w:val="0"/>
                <w:sz w:val="21"/>
                <w:szCs w:val="21"/>
                <w:highlight w:val="none"/>
              </w:rPr>
              <w:t>m²</w:t>
            </w:r>
          </w:p>
        </w:tc>
        <w:tc>
          <w:tcPr>
            <w:tcW w:w="803"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2000</w:t>
            </w:r>
          </w:p>
        </w:tc>
        <w:tc>
          <w:tcPr>
            <w:tcW w:w="88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901"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p>
        </w:tc>
        <w:tc>
          <w:tcPr>
            <w:tcW w:w="707"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17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802"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315"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3" w:hRule="atLeast"/>
        </w:trPr>
        <w:tc>
          <w:tcPr>
            <w:tcW w:w="1433"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2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雨棚光伏系统组件</w:t>
            </w:r>
          </w:p>
        </w:tc>
        <w:tc>
          <w:tcPr>
            <w:tcW w:w="26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分布式光伏组件，国内一线品牌，材料选用单晶硅太阳能电池片，光电转换效率高于20%，单组件功率不低于540Wp（典型规格：550Wp），组件间连接方式为MC4，防护等级为IP68。含安装辅料；并网施工及安装，含光伏逆变器安装及安装辅料，包括交直流汇流箱、并网配电计量箱（如需）；含光伏系统内部连接线缆,光伏支架。</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kern w:val="0"/>
                <w:sz w:val="21"/>
                <w:szCs w:val="21"/>
                <w:highlight w:val="none"/>
              </w:rPr>
              <w:t>Wp</w:t>
            </w:r>
          </w:p>
        </w:tc>
        <w:tc>
          <w:tcPr>
            <w:tcW w:w="803"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500000</w:t>
            </w:r>
          </w:p>
        </w:tc>
        <w:tc>
          <w:tcPr>
            <w:tcW w:w="88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901"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p>
        </w:tc>
        <w:tc>
          <w:tcPr>
            <w:tcW w:w="707"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17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802"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315"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9" w:hRule="atLeast"/>
        </w:trPr>
        <w:tc>
          <w:tcPr>
            <w:tcW w:w="1433"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2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屋顶及地面光伏系统组件</w:t>
            </w:r>
          </w:p>
        </w:tc>
        <w:tc>
          <w:tcPr>
            <w:tcW w:w="26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分布式光伏组件，国内一线品牌，材料选用单晶硅太阳能电池片，光电转换效率高于20%，单组件功率不低于540Wp（典型规格：550Wp），组件间连接方式为MC4，防护等级为IP68。含安装辅料；并网施工及安装，含光伏逆变器安装及安装辅料，包括交直流汇流箱、并网配电计量箱（如需）；含光伏系统内部连接线缆,光伏支架。</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kern w:val="0"/>
                <w:sz w:val="21"/>
                <w:szCs w:val="21"/>
                <w:highlight w:val="none"/>
              </w:rPr>
              <w:t>台</w:t>
            </w:r>
          </w:p>
        </w:tc>
        <w:tc>
          <w:tcPr>
            <w:tcW w:w="803"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50000</w:t>
            </w:r>
          </w:p>
        </w:tc>
        <w:tc>
          <w:tcPr>
            <w:tcW w:w="88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901"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p>
        </w:tc>
        <w:tc>
          <w:tcPr>
            <w:tcW w:w="707"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17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802"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315"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6" w:hRule="atLeast"/>
        </w:trPr>
        <w:tc>
          <w:tcPr>
            <w:tcW w:w="1433"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2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15kW三相光伏逆变器</w:t>
            </w:r>
          </w:p>
        </w:tc>
        <w:tc>
          <w:tcPr>
            <w:tcW w:w="26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额定输出功率：15kW,采用380v或220v输出方式，具备mppt功率追踪，直流侧电压500-800V具备防孤岛保护功能，可通过485/RJ45通讯方式。</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kern w:val="0"/>
                <w:sz w:val="21"/>
                <w:szCs w:val="21"/>
                <w:highlight w:val="none"/>
              </w:rPr>
              <w:t>台</w:t>
            </w:r>
          </w:p>
        </w:tc>
        <w:tc>
          <w:tcPr>
            <w:tcW w:w="803"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3</w:t>
            </w:r>
          </w:p>
        </w:tc>
        <w:tc>
          <w:tcPr>
            <w:tcW w:w="88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901"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p>
        </w:tc>
        <w:tc>
          <w:tcPr>
            <w:tcW w:w="707"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17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802"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315"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6" w:hRule="atLeast"/>
        </w:trPr>
        <w:tc>
          <w:tcPr>
            <w:tcW w:w="1433"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2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30kW三相光伏逆变器</w:t>
            </w:r>
          </w:p>
        </w:tc>
        <w:tc>
          <w:tcPr>
            <w:tcW w:w="26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额定输出功率：30kW,采用380v或220v输出方式，具备mppt功率追踪，直流侧电压500-800V具备防孤岛保护功能，可通过485/RJ45通讯方式。</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kern w:val="0"/>
                <w:sz w:val="21"/>
                <w:szCs w:val="21"/>
                <w:highlight w:val="none"/>
              </w:rPr>
              <w:t>台</w:t>
            </w:r>
          </w:p>
        </w:tc>
        <w:tc>
          <w:tcPr>
            <w:tcW w:w="803"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4</w:t>
            </w:r>
          </w:p>
        </w:tc>
        <w:tc>
          <w:tcPr>
            <w:tcW w:w="88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901"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p>
        </w:tc>
        <w:tc>
          <w:tcPr>
            <w:tcW w:w="707"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17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802"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315"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6" w:hRule="atLeast"/>
        </w:trPr>
        <w:tc>
          <w:tcPr>
            <w:tcW w:w="1433"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2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50kW三相光伏逆变器</w:t>
            </w:r>
          </w:p>
        </w:tc>
        <w:tc>
          <w:tcPr>
            <w:tcW w:w="26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额定输出功率：50kW,采用380v或220v输出方式，具备mppt功率追踪，直流侧电压500-800V具备防孤岛保护功能，可通过485/RJ45通讯方式。</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kern w:val="0"/>
                <w:sz w:val="21"/>
                <w:szCs w:val="21"/>
                <w:highlight w:val="none"/>
              </w:rPr>
              <w:t>台</w:t>
            </w:r>
          </w:p>
        </w:tc>
        <w:tc>
          <w:tcPr>
            <w:tcW w:w="803"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4</w:t>
            </w:r>
          </w:p>
        </w:tc>
        <w:tc>
          <w:tcPr>
            <w:tcW w:w="88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901"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707"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17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802"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315"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6" w:hRule="atLeast"/>
        </w:trPr>
        <w:tc>
          <w:tcPr>
            <w:tcW w:w="1433"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2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100kW三相光伏逆变器</w:t>
            </w:r>
          </w:p>
        </w:tc>
        <w:tc>
          <w:tcPr>
            <w:tcW w:w="26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额定输出功率：100kW,采用380v或220v输出方式，具备mppt功率追踪，直流侧电压500-800V具备防孤岛保护功能，可通过485/RJ45通讯方式。</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kern w:val="0"/>
                <w:sz w:val="21"/>
                <w:szCs w:val="21"/>
                <w:highlight w:val="none"/>
              </w:rPr>
              <w:t>Wp</w:t>
            </w:r>
          </w:p>
        </w:tc>
        <w:tc>
          <w:tcPr>
            <w:tcW w:w="803"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4</w:t>
            </w:r>
          </w:p>
        </w:tc>
        <w:tc>
          <w:tcPr>
            <w:tcW w:w="88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901"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707"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17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802"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315"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0" w:hRule="atLeast"/>
        </w:trPr>
        <w:tc>
          <w:tcPr>
            <w:tcW w:w="1433"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24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 xml:space="preserve"> 安装路径地面开挖与恢复</w:t>
            </w:r>
          </w:p>
        </w:tc>
        <w:tc>
          <w:tcPr>
            <w:tcW w:w="260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路面应复原至原状（颜色、平整度、植被等）；根据项目现场实际情况，可依据勘察设计工程量据实结算或执行或项目施工地面开挖单价执行，沟槽开挖尺寸：宽500mm×深400mm。</w:t>
            </w:r>
          </w:p>
        </w:tc>
        <w:tc>
          <w:tcPr>
            <w:tcW w:w="85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themeColor="text1"/>
                <w:kern w:val="0"/>
                <w:sz w:val="21"/>
                <w:szCs w:val="21"/>
                <w:highlight w:val="none"/>
              </w:rPr>
              <w:t>Wp</w:t>
            </w:r>
          </w:p>
        </w:tc>
        <w:tc>
          <w:tcPr>
            <w:tcW w:w="803"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r>
              <w:rPr>
                <w:rFonts w:hint="eastAsia" w:ascii="仿宋" w:hAnsi="仿宋" w:eastAsia="仿宋" w:cs="仿宋"/>
                <w:color w:val="000000"/>
                <w:sz w:val="21"/>
                <w:szCs w:val="21"/>
                <w:highlight w:val="none"/>
              </w:rPr>
              <w:t>200</w:t>
            </w:r>
          </w:p>
        </w:tc>
        <w:tc>
          <w:tcPr>
            <w:tcW w:w="88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901"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707"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217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802"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c>
          <w:tcPr>
            <w:tcW w:w="1315"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themeColor="text1"/>
                <w:kern w:val="0"/>
                <w:sz w:val="21"/>
                <w:szCs w:val="21"/>
                <w:highlight w:val="none"/>
              </w:rPr>
            </w:pPr>
          </w:p>
        </w:tc>
      </w:tr>
    </w:tbl>
    <w:p>
      <w:pPr>
        <w:spacing w:line="360" w:lineRule="auto"/>
        <w:rPr>
          <w:rFonts w:hint="eastAsia" w:ascii="仿宋" w:hAnsi="仿宋" w:eastAsia="仿宋" w:cs="仿宋"/>
          <w:color w:val="000000" w:themeColor="text1"/>
          <w:sz w:val="24"/>
          <w:szCs w:val="24"/>
          <w:highlight w:val="none"/>
        </w:rPr>
      </w:pPr>
      <w:r>
        <w:rPr>
          <w:rFonts w:hint="eastAsia" w:ascii="仿宋" w:hAnsi="仿宋" w:eastAsia="仿宋" w:cs="仿宋"/>
          <w:color w:val="000000" w:themeColor="text1"/>
          <w:sz w:val="24"/>
          <w:szCs w:val="24"/>
          <w:highlight w:val="none"/>
        </w:rPr>
        <w:t>具体供货不局限于上述产品。应包括上述产品相关配件，类似升级产品。</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备注：</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2.投标文件中提供的证明材料复印件应复印清晰、可辨认且不得遮盖、涂抹，否则视为无效。</w:t>
      </w:r>
    </w:p>
    <w:p>
      <w:pPr>
        <w:rPr>
          <w:rFonts w:hint="eastAsia" w:eastAsia="仿宋"/>
          <w:highlight w:val="none"/>
          <w:lang w:val="en-US" w:eastAsia="zh-CN"/>
        </w:rPr>
      </w:pPr>
      <w:r>
        <w:rPr>
          <w:rFonts w:hint="eastAsia" w:ascii="仿宋" w:hAnsi="仿宋" w:eastAsia="仿宋" w:cs="仿宋"/>
          <w:color w:val="000000" w:themeColor="text1"/>
          <w:sz w:val="24"/>
          <w:szCs w:val="24"/>
          <w:highlight w:val="none"/>
        </w:rPr>
        <w:t>3.</w:t>
      </w:r>
      <w:r>
        <w:rPr>
          <w:rFonts w:hint="eastAsia" w:ascii="仿宋" w:hAnsi="仿宋" w:eastAsia="仿宋" w:cs="仿宋"/>
          <w:b/>
          <w:bCs/>
          <w:sz w:val="24"/>
          <w:szCs w:val="24"/>
          <w:highlight w:val="none"/>
        </w:rPr>
        <w:t>本批次采购业绩均应出具与项目建设单位直接签订并执行的合同关键部分（包括封面、合同协议书、签署页、承包范围（工作内容）及其它关键条款等）（转包、分包合同不予认可）和发票原件影印件（至少提供预付款、进度款、结算款三种发票中的一种，发票扫描件需清晰可辨，发票二维码区不得遮挡、涂抹，如因扫描件模糊无法查验真伪的，该业绩可能不被认可）作为支撑材料。业绩认定时间</w:t>
      </w:r>
      <w:r>
        <w:rPr>
          <w:rFonts w:hint="eastAsia" w:ascii="仿宋" w:hAnsi="仿宋" w:eastAsia="仿宋" w:cs="仿宋"/>
          <w:b/>
          <w:bCs/>
          <w:color w:val="FF0000"/>
          <w:sz w:val="24"/>
          <w:szCs w:val="24"/>
          <w:highlight w:val="none"/>
        </w:rPr>
        <w:t>以合同签订时间为准</w:t>
      </w:r>
      <w:r>
        <w:rPr>
          <w:rFonts w:hint="eastAsia" w:ascii="仿宋" w:hAnsi="仿宋" w:eastAsia="仿宋" w:cs="仿宋"/>
          <w:b/>
          <w:bCs/>
          <w:sz w:val="24"/>
          <w:szCs w:val="24"/>
          <w:highlight w:val="none"/>
        </w:rPr>
        <w:t>，若合同无签署日期，且无其他可以证明合同签署日期的文件，则该项业绩无效。若合同上存在多个签署日期的，以最后一方签署的时间为准。业绩发票影印件后须附通过国家税务总局全国增值税发票查验平台（网址：https://inv-veri.chinatax.gov.cn/）查验的发票结果截图，“一发票一截图”，发票开票日期</w:t>
      </w:r>
      <w:r>
        <w:rPr>
          <w:rFonts w:hint="eastAsia" w:ascii="仿宋" w:hAnsi="仿宋" w:eastAsia="仿宋" w:cs="仿宋"/>
          <w:b/>
          <w:bCs/>
          <w:color w:val="FF0000"/>
          <w:sz w:val="24"/>
          <w:szCs w:val="24"/>
          <w:highlight w:val="none"/>
        </w:rPr>
        <w:t>不得晚于</w:t>
      </w:r>
      <w:r>
        <w:rPr>
          <w:rFonts w:hint="eastAsia" w:ascii="仿宋" w:hAnsi="仿宋" w:eastAsia="仿宋" w:cs="仿宋"/>
          <w:b/>
          <w:bCs/>
          <w:sz w:val="24"/>
          <w:szCs w:val="24"/>
          <w:highlight w:val="none"/>
        </w:rPr>
        <w:t>采购公告发布时间。未提供发票或未提供对应发票查验结果截图的或发票开标日期</w:t>
      </w:r>
      <w:r>
        <w:rPr>
          <w:rFonts w:hint="eastAsia" w:ascii="仿宋" w:hAnsi="仿宋" w:eastAsia="仿宋" w:cs="仿宋"/>
          <w:b/>
          <w:bCs/>
          <w:color w:val="000000" w:themeColor="text1"/>
          <w:sz w:val="24"/>
          <w:szCs w:val="24"/>
          <w:highlight w:val="none"/>
        </w:rPr>
        <w:t>晚于</w:t>
      </w:r>
      <w:r>
        <w:rPr>
          <w:rFonts w:hint="eastAsia" w:ascii="仿宋" w:hAnsi="仿宋" w:eastAsia="仿宋" w:cs="仿宋"/>
          <w:b/>
          <w:bCs/>
          <w:sz w:val="24"/>
          <w:szCs w:val="24"/>
          <w:highlight w:val="none"/>
        </w:rPr>
        <w:t>采购公告发布时间的业绩不予认可。所有业绩支撑证明材料内容须保证清晰、可辨认且不得遮盖、涂抹</w:t>
      </w:r>
      <w:r>
        <w:rPr>
          <w:rFonts w:hint="eastAsia" w:ascii="仿宋" w:hAnsi="仿宋" w:eastAsia="仿宋" w:cs="仿宋"/>
          <w:b/>
          <w:bCs/>
          <w:sz w:val="24"/>
          <w:szCs w:val="24"/>
          <w:highlight w:val="none"/>
          <w:lang w:eastAsia="zh-CN"/>
        </w:rPr>
        <w:t>。</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zcwNjJhMjRjNDdiZDcxN2YwM2E3NTkwZGEwYzQ4ZjMifQ=="/>
    <w:docVar w:name="KSO_WPS_MARK_KEY" w:val="627d904b-183e-42c9-9c52-f8e4fc4f6d69"/>
  </w:docVars>
  <w:rsids>
    <w:rsidRoot w:val="00090E29"/>
    <w:rsid w:val="00090E29"/>
    <w:rsid w:val="00096144"/>
    <w:rsid w:val="000C018A"/>
    <w:rsid w:val="0013644E"/>
    <w:rsid w:val="001855CA"/>
    <w:rsid w:val="003266DE"/>
    <w:rsid w:val="003F2197"/>
    <w:rsid w:val="0050209C"/>
    <w:rsid w:val="00546C4D"/>
    <w:rsid w:val="0056369E"/>
    <w:rsid w:val="006004F0"/>
    <w:rsid w:val="00611B0C"/>
    <w:rsid w:val="006B5136"/>
    <w:rsid w:val="006D1C5C"/>
    <w:rsid w:val="007A0757"/>
    <w:rsid w:val="007D28B6"/>
    <w:rsid w:val="008B14B2"/>
    <w:rsid w:val="008B7C97"/>
    <w:rsid w:val="008E1E8A"/>
    <w:rsid w:val="008E369A"/>
    <w:rsid w:val="00B93A79"/>
    <w:rsid w:val="00BA7EA8"/>
    <w:rsid w:val="00C80E50"/>
    <w:rsid w:val="00D16E51"/>
    <w:rsid w:val="00D4130D"/>
    <w:rsid w:val="00D65A7A"/>
    <w:rsid w:val="00DA55CC"/>
    <w:rsid w:val="00E16677"/>
    <w:rsid w:val="00EE78CF"/>
    <w:rsid w:val="00F151A4"/>
    <w:rsid w:val="00F25139"/>
    <w:rsid w:val="00F56925"/>
    <w:rsid w:val="01EA079C"/>
    <w:rsid w:val="02A91D81"/>
    <w:rsid w:val="031C6C92"/>
    <w:rsid w:val="04FC416D"/>
    <w:rsid w:val="06816373"/>
    <w:rsid w:val="069437F5"/>
    <w:rsid w:val="0876413A"/>
    <w:rsid w:val="08912845"/>
    <w:rsid w:val="089F22C8"/>
    <w:rsid w:val="0906460D"/>
    <w:rsid w:val="093F7AEF"/>
    <w:rsid w:val="09981FC5"/>
    <w:rsid w:val="09E04429"/>
    <w:rsid w:val="0A3001E0"/>
    <w:rsid w:val="0BC04CF3"/>
    <w:rsid w:val="0CDB468D"/>
    <w:rsid w:val="0D19631E"/>
    <w:rsid w:val="0DB95E90"/>
    <w:rsid w:val="0EA12E42"/>
    <w:rsid w:val="0F2134B8"/>
    <w:rsid w:val="0F853369"/>
    <w:rsid w:val="0FB1516E"/>
    <w:rsid w:val="11FC0675"/>
    <w:rsid w:val="12393AA6"/>
    <w:rsid w:val="146D2DFE"/>
    <w:rsid w:val="14EE61CB"/>
    <w:rsid w:val="167F68EE"/>
    <w:rsid w:val="169A6592"/>
    <w:rsid w:val="183F7C42"/>
    <w:rsid w:val="18D04F26"/>
    <w:rsid w:val="19E837BB"/>
    <w:rsid w:val="19F57C86"/>
    <w:rsid w:val="1AF53F74"/>
    <w:rsid w:val="1B224D55"/>
    <w:rsid w:val="1B3B1EBB"/>
    <w:rsid w:val="1BCA56F4"/>
    <w:rsid w:val="1BD229BC"/>
    <w:rsid w:val="1C510C82"/>
    <w:rsid w:val="1D514BA0"/>
    <w:rsid w:val="1EF10925"/>
    <w:rsid w:val="1F3D1E63"/>
    <w:rsid w:val="20142DFA"/>
    <w:rsid w:val="203577BE"/>
    <w:rsid w:val="20373F93"/>
    <w:rsid w:val="20A83793"/>
    <w:rsid w:val="22702AAD"/>
    <w:rsid w:val="22D20AD3"/>
    <w:rsid w:val="26C9733C"/>
    <w:rsid w:val="26D04D02"/>
    <w:rsid w:val="274A6465"/>
    <w:rsid w:val="27BF14E5"/>
    <w:rsid w:val="27E6353A"/>
    <w:rsid w:val="283F1CD8"/>
    <w:rsid w:val="2894561A"/>
    <w:rsid w:val="2910361F"/>
    <w:rsid w:val="29E71C19"/>
    <w:rsid w:val="2B1C0A93"/>
    <w:rsid w:val="2B490344"/>
    <w:rsid w:val="2B7E4049"/>
    <w:rsid w:val="2C5C438C"/>
    <w:rsid w:val="2CD13375"/>
    <w:rsid w:val="2D1A547B"/>
    <w:rsid w:val="2DCD333D"/>
    <w:rsid w:val="2E4E0CE7"/>
    <w:rsid w:val="2F9E55FD"/>
    <w:rsid w:val="308B1E37"/>
    <w:rsid w:val="30B710F2"/>
    <w:rsid w:val="31BA0B13"/>
    <w:rsid w:val="32061D68"/>
    <w:rsid w:val="32087FC3"/>
    <w:rsid w:val="32580053"/>
    <w:rsid w:val="32F0076D"/>
    <w:rsid w:val="32F60393"/>
    <w:rsid w:val="33D407C8"/>
    <w:rsid w:val="344E7D48"/>
    <w:rsid w:val="36A81F19"/>
    <w:rsid w:val="36CA60B6"/>
    <w:rsid w:val="3790383E"/>
    <w:rsid w:val="37AF7C77"/>
    <w:rsid w:val="38B81CA1"/>
    <w:rsid w:val="3A910FF4"/>
    <w:rsid w:val="3ABB128A"/>
    <w:rsid w:val="3B0E674D"/>
    <w:rsid w:val="3B1F79D9"/>
    <w:rsid w:val="3C4E257E"/>
    <w:rsid w:val="3CC36B3B"/>
    <w:rsid w:val="3CCF6B42"/>
    <w:rsid w:val="3D9E4B60"/>
    <w:rsid w:val="3EC700FB"/>
    <w:rsid w:val="3FB31195"/>
    <w:rsid w:val="405979E4"/>
    <w:rsid w:val="416B26FA"/>
    <w:rsid w:val="42731488"/>
    <w:rsid w:val="439E6864"/>
    <w:rsid w:val="43E01DD0"/>
    <w:rsid w:val="446245CF"/>
    <w:rsid w:val="455B308D"/>
    <w:rsid w:val="464B5DCF"/>
    <w:rsid w:val="470E0D4D"/>
    <w:rsid w:val="476A5954"/>
    <w:rsid w:val="47A22E17"/>
    <w:rsid w:val="485278A8"/>
    <w:rsid w:val="48E2279E"/>
    <w:rsid w:val="494C2758"/>
    <w:rsid w:val="49721EC3"/>
    <w:rsid w:val="49A858B7"/>
    <w:rsid w:val="49B7607D"/>
    <w:rsid w:val="4A07253B"/>
    <w:rsid w:val="4A87279D"/>
    <w:rsid w:val="4B3E2667"/>
    <w:rsid w:val="4B567869"/>
    <w:rsid w:val="4BDB43AD"/>
    <w:rsid w:val="4C3B71AC"/>
    <w:rsid w:val="4D444125"/>
    <w:rsid w:val="4DD54703"/>
    <w:rsid w:val="4E0711EB"/>
    <w:rsid w:val="506E3D67"/>
    <w:rsid w:val="507846AA"/>
    <w:rsid w:val="51B0110A"/>
    <w:rsid w:val="52051BC8"/>
    <w:rsid w:val="52513C34"/>
    <w:rsid w:val="53511291"/>
    <w:rsid w:val="53791460"/>
    <w:rsid w:val="54216585"/>
    <w:rsid w:val="54E95C72"/>
    <w:rsid w:val="55656F9E"/>
    <w:rsid w:val="557F4DE1"/>
    <w:rsid w:val="55A579A1"/>
    <w:rsid w:val="55AA6B17"/>
    <w:rsid w:val="55F54C7D"/>
    <w:rsid w:val="568B6C91"/>
    <w:rsid w:val="57857FF7"/>
    <w:rsid w:val="58765B48"/>
    <w:rsid w:val="5A3033EE"/>
    <w:rsid w:val="5A3966BC"/>
    <w:rsid w:val="5A400D1B"/>
    <w:rsid w:val="5A5438D2"/>
    <w:rsid w:val="5AC040F1"/>
    <w:rsid w:val="5C263591"/>
    <w:rsid w:val="5C3E77E9"/>
    <w:rsid w:val="5CF61AD7"/>
    <w:rsid w:val="5D0905C7"/>
    <w:rsid w:val="5DA22CDF"/>
    <w:rsid w:val="5EC86D9B"/>
    <w:rsid w:val="5F9C524B"/>
    <w:rsid w:val="5FF27BF4"/>
    <w:rsid w:val="60A05C01"/>
    <w:rsid w:val="62922A0B"/>
    <w:rsid w:val="632B03E5"/>
    <w:rsid w:val="633B3238"/>
    <w:rsid w:val="63400718"/>
    <w:rsid w:val="65870405"/>
    <w:rsid w:val="676906D7"/>
    <w:rsid w:val="692913FD"/>
    <w:rsid w:val="69481F1D"/>
    <w:rsid w:val="6ADD44FB"/>
    <w:rsid w:val="6B0033F1"/>
    <w:rsid w:val="6B6E095E"/>
    <w:rsid w:val="6B855C05"/>
    <w:rsid w:val="6BA50055"/>
    <w:rsid w:val="6CF1193D"/>
    <w:rsid w:val="6D1B0C22"/>
    <w:rsid w:val="6E02774C"/>
    <w:rsid w:val="6E1718FD"/>
    <w:rsid w:val="6F01698A"/>
    <w:rsid w:val="6F183858"/>
    <w:rsid w:val="6F654A89"/>
    <w:rsid w:val="7014228B"/>
    <w:rsid w:val="702D53B9"/>
    <w:rsid w:val="703525D6"/>
    <w:rsid w:val="70467BAB"/>
    <w:rsid w:val="70FF633A"/>
    <w:rsid w:val="713A62F4"/>
    <w:rsid w:val="735E7233"/>
    <w:rsid w:val="75FF703D"/>
    <w:rsid w:val="768176EC"/>
    <w:rsid w:val="76861E4C"/>
    <w:rsid w:val="77661131"/>
    <w:rsid w:val="77F03460"/>
    <w:rsid w:val="78305C20"/>
    <w:rsid w:val="786E1F54"/>
    <w:rsid w:val="78E00C4B"/>
    <w:rsid w:val="79285B16"/>
    <w:rsid w:val="7A387BE2"/>
    <w:rsid w:val="7AF431F7"/>
    <w:rsid w:val="7B3A67BA"/>
    <w:rsid w:val="7C071D5E"/>
    <w:rsid w:val="7C1E0984"/>
    <w:rsid w:val="7C7826AC"/>
    <w:rsid w:val="7D0A606C"/>
    <w:rsid w:val="7DF050B2"/>
    <w:rsid w:val="7EC421EB"/>
    <w:rsid w:val="7EE54684"/>
    <w:rsid w:val="7EF72F35"/>
    <w:rsid w:val="7FF868B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15"/>
    <w:autoRedefine/>
    <w:qFormat/>
    <w:uiPriority w:val="0"/>
    <w:pPr>
      <w:jc w:val="center"/>
      <w:outlineLvl w:val="0"/>
    </w:pPr>
    <w:rPr>
      <w:b/>
      <w:kern w:val="44"/>
      <w:sz w:val="44"/>
    </w:rPr>
  </w:style>
  <w:style w:type="paragraph" w:styleId="2">
    <w:name w:val="heading 2"/>
    <w:basedOn w:val="1"/>
    <w:next w:val="1"/>
    <w:autoRedefine/>
    <w:qFormat/>
    <w:uiPriority w:val="0"/>
    <w:pPr>
      <w:keepNext/>
      <w:keepLines/>
      <w:topLinePunct/>
      <w:adjustRightInd w:val="0"/>
      <w:snapToGrid w:val="0"/>
      <w:spacing w:beforeLines="80" w:afterLines="80"/>
      <w:outlineLvl w:val="1"/>
    </w:pPr>
    <w:rPr>
      <w:rFonts w:ascii="Arial" w:hAnsi="Arial" w:eastAsia="黑体"/>
    </w:rPr>
  </w:style>
  <w:style w:type="character" w:default="1" w:styleId="10">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4">
    <w:name w:val="Body Text"/>
    <w:basedOn w:val="1"/>
    <w:next w:val="1"/>
    <w:autoRedefine/>
    <w:semiHidden/>
    <w:qFormat/>
    <w:uiPriority w:val="0"/>
    <w:pPr>
      <w:spacing w:after="120"/>
    </w:pPr>
  </w:style>
  <w:style w:type="paragraph" w:styleId="5">
    <w:name w:val="Balloon Text"/>
    <w:basedOn w:val="1"/>
    <w:link w:val="18"/>
    <w:autoRedefine/>
    <w:semiHidden/>
    <w:unhideWhenUsed/>
    <w:qFormat/>
    <w:uiPriority w:val="99"/>
    <w:rPr>
      <w:sz w:val="18"/>
      <w:szCs w:val="18"/>
    </w:rPr>
  </w:style>
  <w:style w:type="paragraph" w:styleId="6">
    <w:name w:val="footer"/>
    <w:basedOn w:val="1"/>
    <w:link w:val="14"/>
    <w:autoRedefine/>
    <w:unhideWhenUsed/>
    <w:qFormat/>
    <w:uiPriority w:val="99"/>
    <w:pPr>
      <w:tabs>
        <w:tab w:val="center" w:pos="4153"/>
        <w:tab w:val="right" w:pos="8306"/>
      </w:tabs>
      <w:snapToGrid w:val="0"/>
      <w:jc w:val="left"/>
    </w:pPr>
    <w:rPr>
      <w:sz w:val="18"/>
      <w:szCs w:val="18"/>
    </w:rPr>
  </w:style>
  <w:style w:type="paragraph" w:styleId="7">
    <w:name w:val="header"/>
    <w:basedOn w:val="1"/>
    <w:link w:val="13"/>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autoRedefine/>
    <w:qFormat/>
    <w:uiPriority w:val="22"/>
    <w:rPr>
      <w:b/>
      <w:bCs/>
    </w:rPr>
  </w:style>
  <w:style w:type="character" w:styleId="12">
    <w:name w:val="Hyperlink"/>
    <w:autoRedefine/>
    <w:qFormat/>
    <w:uiPriority w:val="99"/>
    <w:rPr>
      <w:color w:val="0000FF"/>
      <w:u w:val="single"/>
    </w:rPr>
  </w:style>
  <w:style w:type="character" w:customStyle="1" w:styleId="13">
    <w:name w:val="页眉 Char"/>
    <w:basedOn w:val="10"/>
    <w:link w:val="7"/>
    <w:autoRedefine/>
    <w:qFormat/>
    <w:uiPriority w:val="99"/>
    <w:rPr>
      <w:sz w:val="18"/>
      <w:szCs w:val="18"/>
    </w:rPr>
  </w:style>
  <w:style w:type="character" w:customStyle="1" w:styleId="14">
    <w:name w:val="页脚 Char"/>
    <w:basedOn w:val="10"/>
    <w:link w:val="6"/>
    <w:autoRedefine/>
    <w:qFormat/>
    <w:uiPriority w:val="99"/>
    <w:rPr>
      <w:sz w:val="18"/>
      <w:szCs w:val="18"/>
    </w:rPr>
  </w:style>
  <w:style w:type="character" w:customStyle="1" w:styleId="15">
    <w:name w:val="标题 1 Char"/>
    <w:basedOn w:val="10"/>
    <w:link w:val="3"/>
    <w:autoRedefine/>
    <w:qFormat/>
    <w:uiPriority w:val="0"/>
    <w:rPr>
      <w:rFonts w:ascii="Times New Roman" w:hAnsi="Times New Roman" w:eastAsia="宋体" w:cs="Times New Roman"/>
      <w:b/>
      <w:kern w:val="44"/>
      <w:sz w:val="44"/>
      <w:szCs w:val="20"/>
    </w:rPr>
  </w:style>
  <w:style w:type="paragraph" w:customStyle="1" w:styleId="16">
    <w:name w:val="本文正文"/>
    <w:basedOn w:val="1"/>
    <w:autoRedefine/>
    <w:qFormat/>
    <w:uiPriority w:val="0"/>
    <w:pPr>
      <w:tabs>
        <w:tab w:val="left" w:pos="630"/>
      </w:tabs>
      <w:topLinePunct/>
      <w:adjustRightInd w:val="0"/>
      <w:spacing w:line="360" w:lineRule="exact"/>
    </w:pPr>
    <w:rPr>
      <w:color w:val="000000"/>
    </w:rPr>
  </w:style>
  <w:style w:type="paragraph" w:customStyle="1" w:styleId="17">
    <w:name w:val="Normal_1"/>
    <w:autoRedefine/>
    <w:qFormat/>
    <w:uiPriority w:val="0"/>
    <w:pPr>
      <w:widowControl w:val="0"/>
      <w:jc w:val="both"/>
    </w:pPr>
    <w:rPr>
      <w:rFonts w:ascii="Times New Roman" w:hAnsi="Times New Roman" w:eastAsia="宋体" w:cs="Times New Roman"/>
      <w:lang w:val="en-US" w:eastAsia="zh-CN" w:bidi="ar-SA"/>
    </w:rPr>
  </w:style>
  <w:style w:type="character" w:customStyle="1" w:styleId="18">
    <w:name w:val="批注框文本 Char"/>
    <w:basedOn w:val="10"/>
    <w:link w:val="5"/>
    <w:autoRedefine/>
    <w:semiHidden/>
    <w:qFormat/>
    <w:uiPriority w:val="99"/>
    <w:rPr>
      <w:kern w:val="2"/>
      <w:sz w:val="18"/>
      <w:szCs w:val="18"/>
    </w:rPr>
  </w:style>
  <w:style w:type="paragraph" w:customStyle="1" w:styleId="19">
    <w:name w:val="_标准条文"/>
    <w:basedOn w:val="1"/>
    <w:autoRedefine/>
    <w:qFormat/>
    <w:uiPriority w:val="0"/>
    <w:pPr>
      <w:overflowPunct w:val="0"/>
      <w:snapToGrid w:val="0"/>
      <w:spacing w:line="276" w:lineRule="auto"/>
      <w:ind w:firstLine="420" w:firstLineChars="200"/>
    </w:pPr>
    <w:rPr>
      <w:rFonts w:ascii="Arial" w:hAnsi="Arial" w:cs="宋体"/>
    </w:rPr>
  </w:style>
  <w:style w:type="paragraph" w:styleId="20">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3032</Words>
  <Characters>3502</Characters>
  <Lines>28</Lines>
  <Paragraphs>8</Paragraphs>
  <TotalTime>0</TotalTime>
  <ScaleCrop>false</ScaleCrop>
  <LinksUpToDate>false</LinksUpToDate>
  <CharactersWithSpaces>3515</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2021-02-01T07:32:00Z</dcterms:created>
  <dc:creator>CX2020111</dc:creator>
  <cp:lastModifiedBy>麦麦酱</cp:lastModifiedBy>
  <dcterms:modified xsi:type="dcterms:W3CDTF">2024-03-05T09:02:04Z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B9D790BC200E42E1852D85AC6EAAB8FA</vt:lpwstr>
  </property>
</Properties>
</file>