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hint="eastAsia" w:ascii="仿宋" w:hAnsi="仿宋" w:eastAsia="仿宋" w:cs="仿宋"/>
          <w:b/>
          <w:bCs/>
          <w:highlight w:val="none"/>
        </w:rPr>
      </w:pPr>
      <w:bookmarkStart w:id="1" w:name="_GoBack"/>
      <w:bookmarkEnd w:id="1"/>
      <w:r>
        <w:rPr>
          <w:rFonts w:hint="eastAsia" w:ascii="仿宋" w:hAnsi="仿宋" w:eastAsia="仿宋" w:cs="仿宋"/>
          <w:b/>
          <w:bCs/>
          <w:highlight w:val="none"/>
        </w:rPr>
        <w:t>附件1   招标需求一览表</w:t>
      </w:r>
    </w:p>
    <w:tbl>
      <w:tblPr>
        <w:tblStyle w:val="7"/>
        <w:tblW w:w="145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1"/>
        <w:gridCol w:w="1220"/>
        <w:gridCol w:w="2433"/>
        <w:gridCol w:w="749"/>
        <w:gridCol w:w="855"/>
        <w:gridCol w:w="945"/>
        <w:gridCol w:w="934"/>
        <w:gridCol w:w="2587"/>
        <w:gridCol w:w="2511"/>
        <w:gridCol w:w="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381" w:type="dxa"/>
            <w:vAlign w:val="center"/>
          </w:tcPr>
          <w:p>
            <w:pPr>
              <w:widowControl/>
              <w:spacing w:line="240" w:lineRule="auto"/>
              <w:jc w:val="center"/>
              <w:rPr>
                <w:rFonts w:hint="eastAsia" w:ascii="仿宋" w:hAnsi="仿宋" w:eastAsia="仿宋" w:cs="仿宋"/>
                <w:b/>
                <w:bCs/>
                <w:color w:val="000000" w:themeColor="text1"/>
                <w:kern w:val="0"/>
                <w:sz w:val="24"/>
                <w:szCs w:val="24"/>
                <w:highlight w:val="none"/>
              </w:rPr>
            </w:pPr>
            <w:bookmarkStart w:id="0" w:name="商务初评模板"/>
            <w:r>
              <w:rPr>
                <w:rFonts w:hint="eastAsia" w:ascii="仿宋" w:hAnsi="仿宋" w:eastAsia="仿宋" w:cs="仿宋"/>
                <w:b/>
                <w:bCs/>
                <w:color w:val="000000" w:themeColor="text1"/>
                <w:kern w:val="0"/>
                <w:sz w:val="24"/>
                <w:szCs w:val="24"/>
                <w:highlight w:val="none"/>
              </w:rPr>
              <w:t>项目名称</w:t>
            </w:r>
          </w:p>
        </w:tc>
        <w:tc>
          <w:tcPr>
            <w:tcW w:w="1220"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lang w:eastAsia="zh-CN"/>
              </w:rPr>
            </w:pPr>
            <w:r>
              <w:rPr>
                <w:rFonts w:hint="eastAsia" w:ascii="仿宋" w:hAnsi="仿宋" w:eastAsia="仿宋" w:cs="仿宋"/>
                <w:b/>
                <w:bCs/>
                <w:color w:val="000000" w:themeColor="text1"/>
                <w:kern w:val="0"/>
                <w:sz w:val="24"/>
                <w:szCs w:val="24"/>
                <w:highlight w:val="none"/>
                <w:lang w:val="en-US" w:eastAsia="zh-CN"/>
              </w:rPr>
              <w:t>服务内容</w:t>
            </w:r>
          </w:p>
        </w:tc>
        <w:tc>
          <w:tcPr>
            <w:tcW w:w="2433"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rPr>
            </w:pPr>
            <w:r>
              <w:rPr>
                <w:rFonts w:hint="eastAsia" w:ascii="仿宋" w:hAnsi="仿宋" w:eastAsia="仿宋" w:cs="仿宋"/>
                <w:b/>
                <w:bCs/>
                <w:color w:val="000000" w:themeColor="text1"/>
                <w:kern w:val="0"/>
                <w:sz w:val="24"/>
                <w:szCs w:val="24"/>
                <w:highlight w:val="none"/>
              </w:rPr>
              <w:t>主要技术要求</w:t>
            </w:r>
          </w:p>
        </w:tc>
        <w:tc>
          <w:tcPr>
            <w:tcW w:w="749"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rPr>
            </w:pPr>
            <w:r>
              <w:rPr>
                <w:rFonts w:hint="eastAsia" w:ascii="仿宋" w:hAnsi="仿宋" w:eastAsia="仿宋" w:cs="仿宋"/>
                <w:b/>
                <w:bCs/>
                <w:color w:val="000000" w:themeColor="text1"/>
                <w:kern w:val="0"/>
                <w:sz w:val="24"/>
                <w:szCs w:val="24"/>
                <w:highlight w:val="none"/>
              </w:rPr>
              <w:t>单位</w:t>
            </w:r>
          </w:p>
        </w:tc>
        <w:tc>
          <w:tcPr>
            <w:tcW w:w="855"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rPr>
            </w:pPr>
            <w:r>
              <w:rPr>
                <w:rFonts w:hint="eastAsia" w:ascii="仿宋" w:hAnsi="仿宋" w:eastAsia="仿宋" w:cs="仿宋"/>
                <w:b/>
                <w:bCs/>
                <w:color w:val="000000" w:themeColor="text1"/>
                <w:kern w:val="0"/>
                <w:sz w:val="24"/>
                <w:szCs w:val="24"/>
                <w:highlight w:val="none"/>
              </w:rPr>
              <w:t>数量</w:t>
            </w:r>
          </w:p>
        </w:tc>
        <w:tc>
          <w:tcPr>
            <w:tcW w:w="945"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themeColor="text1"/>
                <w:kern w:val="0"/>
                <w:sz w:val="24"/>
                <w:szCs w:val="24"/>
                <w:highlight w:val="none"/>
                <w:lang w:val="en-US" w:eastAsia="zh-CN"/>
              </w:rPr>
              <w:t>服务期/工期</w:t>
            </w:r>
          </w:p>
        </w:tc>
        <w:tc>
          <w:tcPr>
            <w:tcW w:w="934"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themeColor="text1"/>
                <w:kern w:val="0"/>
                <w:sz w:val="24"/>
                <w:szCs w:val="24"/>
                <w:highlight w:val="none"/>
                <w:lang w:val="en-US" w:eastAsia="zh-CN"/>
              </w:rPr>
              <w:t>质保期</w:t>
            </w:r>
          </w:p>
        </w:tc>
        <w:tc>
          <w:tcPr>
            <w:tcW w:w="2587" w:type="dxa"/>
            <w:shd w:val="clear" w:color="auto" w:fill="auto"/>
            <w:vAlign w:val="center"/>
          </w:tcPr>
          <w:p>
            <w:pPr>
              <w:pStyle w:val="13"/>
              <w:widowControl/>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sz w:val="22"/>
                <w:szCs w:val="22"/>
                <w:highlight w:val="none"/>
              </w:rPr>
              <w:t>专用资质要求</w:t>
            </w:r>
          </w:p>
        </w:tc>
        <w:tc>
          <w:tcPr>
            <w:tcW w:w="2511" w:type="dxa"/>
            <w:shd w:val="clear" w:color="auto" w:fill="auto"/>
            <w:vAlign w:val="center"/>
          </w:tcPr>
          <w:p>
            <w:pPr>
              <w:pStyle w:val="13"/>
              <w:widowControl/>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sz w:val="22"/>
                <w:szCs w:val="22"/>
                <w:highlight w:val="none"/>
              </w:rPr>
              <w:t>专用</w:t>
            </w:r>
            <w:r>
              <w:rPr>
                <w:rFonts w:hint="eastAsia" w:ascii="仿宋" w:hAnsi="仿宋" w:eastAsia="仿宋" w:cs="仿宋"/>
                <w:b/>
                <w:bCs/>
                <w:color w:val="000000"/>
                <w:sz w:val="22"/>
                <w:szCs w:val="22"/>
                <w:highlight w:val="none"/>
                <w:lang w:val="en-US" w:eastAsia="zh-CN"/>
              </w:rPr>
              <w:t>业绩</w:t>
            </w:r>
            <w:r>
              <w:rPr>
                <w:rFonts w:hint="eastAsia" w:ascii="仿宋" w:hAnsi="仿宋" w:eastAsia="仿宋" w:cs="仿宋"/>
                <w:b/>
                <w:bCs/>
                <w:color w:val="000000"/>
                <w:sz w:val="22"/>
                <w:szCs w:val="22"/>
                <w:highlight w:val="none"/>
              </w:rPr>
              <w:t>要求</w:t>
            </w:r>
          </w:p>
        </w:tc>
        <w:tc>
          <w:tcPr>
            <w:tcW w:w="939" w:type="dxa"/>
            <w:shd w:val="clear" w:color="auto" w:fill="auto"/>
            <w:vAlign w:val="center"/>
          </w:tcPr>
          <w:p>
            <w:pPr>
              <w:pStyle w:val="13"/>
              <w:widowControl/>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sz w:val="22"/>
                <w:szCs w:val="22"/>
                <w:highlight w:val="none"/>
              </w:rPr>
              <w:t>保证金金额（万元）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restart"/>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滨州沾化10kV及以下架空线路、低压配电设备等安装项目</w:t>
            </w: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10kV架空线路维修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按照国家电力行业标准及文件要求，在业主方规定时间内，完成10kV架空线路维修，确保线路“横平竖直”、导线间距、电杆埋深等满足规范要求，通过业主方验收。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7.348</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restart"/>
            <w:shd w:val="clear" w:color="auto" w:fill="auto"/>
            <w:vAlign w:val="center"/>
          </w:tcPr>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1.供应商要求:供应商应具有独立订立合同的法人资格;</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2.有效的安全生产许可证:提供安全生产许可证;</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3.有效的资质等级证书:以下资质至少具备一项：具有电力监管机构核发的《承装（修、试）电力设施许可证》，许可范围包含五级及以上承装或承修或具有建设行政主管部门颁发的电力工程施工总承包三级及以上或输变电工程专业承包三级及以上有效资质等级证书;</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4.备注:不接受联合体投标。</w:t>
            </w:r>
          </w:p>
          <w:p>
            <w:pPr>
              <w:rPr>
                <w:rFonts w:hint="eastAsia" w:ascii="仿宋" w:hAnsi="仿宋" w:eastAsia="仿宋" w:cs="仿宋"/>
                <w:color w:val="000000" w:themeColor="text1"/>
                <w:kern w:val="0"/>
                <w:sz w:val="24"/>
                <w:szCs w:val="24"/>
                <w:highlight w:val="none"/>
                <w:lang w:val="en-US" w:eastAsia="zh-CN"/>
              </w:rPr>
            </w:pPr>
          </w:p>
        </w:tc>
        <w:tc>
          <w:tcPr>
            <w:tcW w:w="2511" w:type="dxa"/>
            <w:vMerge w:val="restart"/>
            <w:shd w:val="clear" w:color="auto" w:fill="auto"/>
            <w:vAlign w:val="center"/>
          </w:tcPr>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完成过与招标项目相类似的同等或以上技术要求的项目：2021年1月1日至招标采购公告发布日止，投标方完成过配电线路/台区改造或维修或安装业绩不少于两份，合同额累计不低于200万元。注：业绩必须提供对应的合同复印件。</w:t>
            </w:r>
          </w:p>
          <w:p>
            <w:pPr>
              <w:rPr>
                <w:rFonts w:hint="eastAsia" w:ascii="仿宋" w:hAnsi="仿宋" w:eastAsia="仿宋" w:cs="仿宋"/>
                <w:color w:val="000000" w:themeColor="text1"/>
                <w:kern w:val="0"/>
                <w:sz w:val="24"/>
                <w:szCs w:val="24"/>
                <w:highlight w:val="none"/>
                <w:lang w:val="en-US" w:eastAsia="zh-CN"/>
              </w:rPr>
            </w:pPr>
          </w:p>
        </w:tc>
        <w:tc>
          <w:tcPr>
            <w:tcW w:w="939" w:type="dxa"/>
            <w:vMerge w:val="restart"/>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电缆线路维修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按照国家电力行业标准及文件要求，在业主方规定时间内，完成电缆线路维修，确保埋设深度满足要求，接头处理良好，通过业主方验收。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11.022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0.4kV线路维修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按照国家电力行业标准及文件要求，在业主方规定时间内，完成0.4kV线路维修，确保线路“横平竖直”、导线间距、电杆埋深等满足规范要求，确保，通过业主方验收。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7.348</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0.4kV低压配电设备维修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按照国家电力行业标准及文件要求，在业主方规定时间内，完成0.4kV低压配电设备维修，确保母排安装横平竖直、焊接牢固、可靠，焊缝无夹渣等现象，通过业主方验收。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防雷接地维修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按照国家电力行业标准及文件要求，在业主方规定时间内，完成防雷接地维修，确保接地电阻满足要求，通过业主方验收。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组</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土建类建（构）筑物维修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按照国家电力行业标准及文件要求，在业主方规定时间内，完成土建类建（构）筑物维修，主要包括顶管、电杆加固等，通过业主方验收。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宗</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10kV变压器维修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按照国家电力行业标准及文件要求，在业主方规定时间内，完成10kV变压器维修，确保变压器空载损耗及负载损耗、在短路下的耐受能力、过载能力等满足要求，通过业主方验收。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环网柜（箱）维修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按照国家电力行业标准及文件要求，在业主方规定时间内，完成环网柜（箱）维修，确保主接线示意图清晰、标识完整，防潮、防锈、防腐蚀性能良好，通过业主方验收。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低压开关柜维修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按照国家电力行业标准及文件要求，在业主方规定时间内，完成低压开关柜维修，确保金属壳体和隔板等元件可靠固定，电气间隙满足要求，通过业主方验收。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低压电容器柜维修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按照国家电力行业标准及文件要求，在业主方规定时间内，完成低压电容器柜维修，确保电容器金属壳体和隔板等元件可靠固定，连接可靠，通过业主方验收。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低压电缆分支箱维修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按照国家电力行业标准及文件要求，在业主方规定时间内，完成低压电缆分支箱维修，确保母线及馈出绝缘封闭良好，具有防尘、防火、耐腐蚀、日照高温、污秽、凝露的免维护性能，通过业主方验收。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低压综合配电箱维修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按照国家电力行业标准及文件要求，在业主方规定时间内，完成低压综合配电箱维修，确保各组成单元相对封闭，二次接线灵活连接，通过业主方验收。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10kV箱式变电站维修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按照国家电力行业标准及文件要求，在业主方规定时间内，完成10kV箱式变电站维修，确保额定和1.5倍短时过负荷运行状态下的温升符合要求，具备除湿、防爆和防凝露措施，通过业主方验收。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柱上开关维修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按照国家电力行业标准及文件要求，在业主方规定时间内，完成柱上开关维修，确保壳体壳体应具有良好的密封、防潮和防凝露性能，设备安装后应能稳定可靠使用5年以上，通过业主方验收。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587"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2511"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939"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widowControl/>
              <w:spacing w:line="240" w:lineRule="auto"/>
              <w:jc w:val="center"/>
              <w:rPr>
                <w:rFonts w:hint="eastAsia" w:ascii="仿宋" w:hAnsi="仿宋" w:eastAsia="仿宋" w:cs="仿宋"/>
                <w:i w:val="0"/>
                <w:iCs w:val="0"/>
                <w:color w:val="auto"/>
                <w:kern w:val="0"/>
                <w:sz w:val="24"/>
                <w:szCs w:val="24"/>
                <w:highlight w:val="none"/>
                <w:u w:val="none"/>
                <w:lang w:val="en-US" w:eastAsia="zh-CN" w:bidi="ar"/>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综合用工</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rPr>
            </w:pPr>
            <w:r>
              <w:rPr>
                <w:rFonts w:hint="eastAsia" w:ascii="仿宋" w:hAnsi="仿宋" w:eastAsia="仿宋" w:cs="仿宋"/>
                <w:color w:val="000000" w:themeColor="text1"/>
                <w:kern w:val="0"/>
                <w:sz w:val="24"/>
                <w:szCs w:val="24"/>
                <w:highlight w:val="none"/>
              </w:rPr>
              <w:t>为完成项目交付，但本合同未约定相关定价的工作内容。因业主方、甲方原因产生的临时性工作，事先经甲方认可后，按综合工日结算。</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工日</w:t>
            </w:r>
          </w:p>
        </w:tc>
        <w:tc>
          <w:tcPr>
            <w:tcW w:w="855" w:type="dxa"/>
            <w:shd w:val="clear" w:color="000000" w:fill="FFFFFF"/>
            <w:vAlign w:val="center"/>
          </w:tcPr>
          <w:p>
            <w:pPr>
              <w:keepNext w:val="0"/>
              <w:keepLines w:val="0"/>
              <w:widowControl/>
              <w:suppressLineNumbers w:val="0"/>
              <w:jc w:val="center"/>
              <w:textAlignment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320</w:t>
            </w:r>
          </w:p>
        </w:tc>
        <w:tc>
          <w:tcPr>
            <w:tcW w:w="945" w:type="dxa"/>
            <w:shd w:val="clear" w:color="auto" w:fill="auto"/>
            <w:vAlign w:val="center"/>
          </w:tcPr>
          <w:p>
            <w:pPr>
              <w:widowControl/>
              <w:spacing w:line="240" w:lineRule="auto"/>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1年</w:t>
            </w:r>
          </w:p>
        </w:tc>
        <w:tc>
          <w:tcPr>
            <w:tcW w:w="934" w:type="dxa"/>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1年</w:t>
            </w:r>
          </w:p>
        </w:tc>
        <w:tc>
          <w:tcPr>
            <w:tcW w:w="2587"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c>
          <w:tcPr>
            <w:tcW w:w="2511"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c>
          <w:tcPr>
            <w:tcW w:w="939"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r>
    </w:tbl>
    <w:p>
      <w:pPr>
        <w:pStyle w:val="16"/>
        <w:numPr>
          <w:ilvl w:val="0"/>
          <w:numId w:val="0"/>
        </w:numPr>
        <w:spacing w:line="240" w:lineRule="auto"/>
        <w:ind w:leftChars="-170" w:firstLine="480" w:firstLineChars="200"/>
        <w:outlineLvl w:val="0"/>
        <w:rPr>
          <w:rFonts w:hint="eastAsia" w:ascii="仿宋" w:hAnsi="仿宋" w:eastAsia="仿宋" w:cs="仿宋"/>
          <w:b w:val="0"/>
          <w:bCs w:val="0"/>
          <w:sz w:val="22"/>
          <w:szCs w:val="22"/>
          <w:highlight w:val="none"/>
        </w:rPr>
      </w:pPr>
      <w:r>
        <w:rPr>
          <w:rFonts w:hint="eastAsia" w:ascii="仿宋" w:hAnsi="仿宋" w:eastAsia="仿宋" w:cs="仿宋"/>
          <w:color w:val="000000" w:themeColor="text1"/>
          <w:sz w:val="24"/>
          <w:szCs w:val="24"/>
          <w:highlight w:val="none"/>
          <w:lang w:eastAsia="zh-CN"/>
        </w:rPr>
        <w:t>具体服务不局限于上述需求一览表。应包括上述服务相关延伸服务及产品，类似升级服务及相关产品。</w:t>
      </w:r>
    </w:p>
    <w:bookmarkEnd w:id="0"/>
    <w:p>
      <w:pPr>
        <w:spacing w:line="240" w:lineRule="auto"/>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rPr>
        <w:t>备注：</w:t>
      </w:r>
    </w:p>
    <w:p>
      <w:pPr>
        <w:spacing w:line="240" w:lineRule="auto"/>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spacing w:line="240" w:lineRule="auto"/>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rPr>
        <w:t>2.投标文件中提供的证明材料复印件应复印清晰、可辨认且不得遮盖、涂抹，否则视为无效。</w:t>
      </w:r>
    </w:p>
    <w:p>
      <w:pPr>
        <w:spacing w:line="240" w:lineRule="auto"/>
        <w:rPr>
          <w:rFonts w:hint="eastAsia" w:ascii="仿宋" w:hAnsi="仿宋" w:eastAsia="仿宋" w:cs="仿宋"/>
          <w:color w:val="000000" w:themeColor="text1"/>
          <w:sz w:val="24"/>
          <w:szCs w:val="24"/>
          <w:highlight w:val="none"/>
        </w:rPr>
        <w:sectPr>
          <w:pgSz w:w="16838" w:h="11906" w:orient="landscape"/>
          <w:pgMar w:top="1800" w:right="1440" w:bottom="1800" w:left="1440" w:header="851" w:footer="992" w:gutter="0"/>
          <w:cols w:space="425" w:num="1"/>
          <w:docGrid w:type="lines" w:linePitch="312" w:charSpace="0"/>
        </w:sectPr>
      </w:pPr>
    </w:p>
    <w:p>
      <w:pPr>
        <w:pStyle w:val="15"/>
        <w:jc w:val="center"/>
        <w:rPr>
          <w:rFonts w:hint="eastAsia" w:ascii="仿宋" w:hAnsi="仿宋" w:eastAsia="仿宋" w:cs="仿宋"/>
          <w:b/>
          <w:sz w:val="32"/>
          <w:highlight w:val="none"/>
        </w:rPr>
      </w:pPr>
      <w:r>
        <w:rPr>
          <w:rFonts w:hint="eastAsia" w:ascii="仿宋" w:hAnsi="仿宋" w:eastAsia="仿宋" w:cs="仿宋"/>
          <w:b/>
          <w:sz w:val="32"/>
          <w:highlight w:val="none"/>
          <w:lang w:val="en-US" w:eastAsia="zh-CN"/>
        </w:rPr>
        <w:t>投标人</w:t>
      </w:r>
      <w:r>
        <w:rPr>
          <w:rFonts w:hint="eastAsia" w:ascii="仿宋" w:hAnsi="仿宋" w:eastAsia="仿宋" w:cs="仿宋"/>
          <w:b/>
          <w:sz w:val="32"/>
          <w:highlight w:val="none"/>
          <w:lang w:eastAsia="zh-CN"/>
        </w:rPr>
        <w:t>报名</w:t>
      </w:r>
      <w:r>
        <w:rPr>
          <w:rFonts w:hint="eastAsia" w:ascii="仿宋" w:hAnsi="仿宋" w:eastAsia="仿宋" w:cs="仿宋"/>
          <w:b/>
          <w:sz w:val="32"/>
          <w:highlight w:val="none"/>
        </w:rPr>
        <w:t>申请</w:t>
      </w:r>
      <w:r>
        <w:rPr>
          <w:rFonts w:hint="eastAsia" w:ascii="仿宋" w:hAnsi="仿宋" w:eastAsia="仿宋" w:cs="仿宋"/>
          <w:b/>
          <w:sz w:val="32"/>
          <w:highlight w:val="none"/>
          <w:lang w:eastAsia="zh-CN"/>
        </w:rPr>
        <w:t>表</w:t>
      </w:r>
    </w:p>
    <w:p>
      <w:pPr>
        <w:jc w:val="right"/>
        <w:rPr>
          <w:rFonts w:hint="eastAsia" w:ascii="仿宋" w:hAnsi="仿宋" w:eastAsia="仿宋" w:cs="仿宋"/>
          <w:b/>
          <w:sz w:val="32"/>
          <w:highlight w:val="none"/>
        </w:rPr>
      </w:pPr>
      <w:r>
        <w:rPr>
          <w:rFonts w:hint="eastAsia" w:ascii="仿宋" w:hAnsi="仿宋" w:eastAsia="仿宋" w:cs="仿宋"/>
          <w:highlight w:val="none"/>
          <w:lang w:val="en-US" w:eastAsia="zh-CN"/>
        </w:rPr>
        <w:t>XXXX</w:t>
      </w:r>
      <w:r>
        <w:rPr>
          <w:rFonts w:hint="eastAsia" w:ascii="仿宋" w:hAnsi="仿宋" w:eastAsia="仿宋" w:cs="仿宋"/>
          <w:highlight w:val="none"/>
        </w:rPr>
        <w:t>年</w:t>
      </w:r>
      <w:r>
        <w:rPr>
          <w:rFonts w:hint="eastAsia" w:ascii="仿宋" w:hAnsi="仿宋" w:eastAsia="仿宋" w:cs="仿宋"/>
          <w:highlight w:val="none"/>
          <w:lang w:val="en-US" w:eastAsia="zh-CN"/>
        </w:rPr>
        <w:t>XX</w:t>
      </w:r>
      <w:r>
        <w:rPr>
          <w:rFonts w:hint="eastAsia" w:ascii="仿宋" w:hAnsi="仿宋" w:eastAsia="仿宋" w:cs="仿宋"/>
          <w:highlight w:val="none"/>
        </w:rPr>
        <w:t>月</w:t>
      </w:r>
      <w:r>
        <w:rPr>
          <w:rFonts w:hint="eastAsia" w:ascii="仿宋" w:hAnsi="仿宋" w:eastAsia="仿宋" w:cs="仿宋"/>
          <w:highlight w:val="none"/>
          <w:lang w:val="en-US" w:eastAsia="zh-CN"/>
        </w:rPr>
        <w:t>XX</w:t>
      </w:r>
      <w:r>
        <w:rPr>
          <w:rFonts w:hint="eastAsia" w:ascii="仿宋" w:hAnsi="仿宋" w:eastAsia="仿宋" w:cs="仿宋"/>
          <w:highlight w:val="none"/>
        </w:rPr>
        <w:t>日</w:t>
      </w:r>
    </w:p>
    <w:tbl>
      <w:tblPr>
        <w:tblStyle w:val="7"/>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1476"/>
        <w:gridCol w:w="2349"/>
        <w:gridCol w:w="1535"/>
        <w:gridCol w:w="3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项目名称</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项目编号</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投标包号</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restart"/>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投标人</w:t>
            </w:r>
          </w:p>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信息</w:t>
            </w:r>
          </w:p>
        </w:tc>
        <w:tc>
          <w:tcPr>
            <w:tcW w:w="1476" w:type="dxa"/>
            <w:vAlign w:val="center"/>
          </w:tcPr>
          <w:p>
            <w:pPr>
              <w:adjustRightInd w:val="0"/>
              <w:snapToGrid w:val="0"/>
              <w:spacing w:line="312" w:lineRule="atLeast"/>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投标人</w:t>
            </w:r>
            <w:r>
              <w:rPr>
                <w:rFonts w:hint="eastAsia" w:ascii="仿宋" w:hAnsi="仿宋" w:eastAsia="仿宋" w:cs="仿宋"/>
                <w:sz w:val="24"/>
                <w:szCs w:val="24"/>
                <w:highlight w:val="none"/>
              </w:rPr>
              <w:t>全称</w:t>
            </w:r>
          </w:p>
        </w:tc>
        <w:tc>
          <w:tcPr>
            <w:tcW w:w="7069" w:type="dxa"/>
            <w:gridSpan w:val="3"/>
            <w:vAlign w:val="center"/>
          </w:tcPr>
          <w:p>
            <w:pPr>
              <w:adjustRightInd w:val="0"/>
              <w:snapToGrid w:val="0"/>
              <w:spacing w:line="312" w:lineRule="atLeast"/>
              <w:jc w:val="right"/>
              <w:rPr>
                <w:rFonts w:hint="eastAsia" w:ascii="仿宋" w:hAnsi="仿宋" w:eastAsia="仿宋" w:cs="仿宋"/>
                <w:sz w:val="24"/>
                <w:szCs w:val="24"/>
                <w:highlight w:val="none"/>
              </w:rPr>
            </w:pPr>
            <w:r>
              <w:rPr>
                <w:rFonts w:hint="eastAsia" w:ascii="仿宋" w:hAnsi="仿宋" w:eastAsia="仿宋" w:cs="仿宋"/>
                <w:highlight w:val="none"/>
              </w:rPr>
              <w:t>（公章加盖处）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highlight w:val="none"/>
              </w:rPr>
            </w:pPr>
          </w:p>
        </w:tc>
        <w:tc>
          <w:tcPr>
            <w:tcW w:w="1476"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联系人</w:t>
            </w:r>
          </w:p>
        </w:tc>
        <w:tc>
          <w:tcPr>
            <w:tcW w:w="2349" w:type="dxa"/>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c>
          <w:tcPr>
            <w:tcW w:w="1535"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联系电话</w:t>
            </w:r>
          </w:p>
        </w:tc>
        <w:tc>
          <w:tcPr>
            <w:tcW w:w="3185" w:type="dxa"/>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highlight w:val="none"/>
              </w:rPr>
            </w:pPr>
          </w:p>
        </w:tc>
        <w:tc>
          <w:tcPr>
            <w:tcW w:w="1476" w:type="dxa"/>
            <w:tcBorders>
              <w:top w:val="single" w:color="auto" w:sz="4" w:space="0"/>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电子邮箱</w:t>
            </w:r>
          </w:p>
        </w:tc>
        <w:tc>
          <w:tcPr>
            <w:tcW w:w="7069" w:type="dxa"/>
            <w:gridSpan w:val="3"/>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r>
    </w:tbl>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1、请确认参与投标的单位如实填写此表，填写完毕并加盖公章后</w:t>
      </w:r>
      <w:r>
        <w:rPr>
          <w:rFonts w:hint="eastAsia" w:ascii="仿宋" w:hAnsi="仿宋" w:eastAsia="仿宋" w:cs="仿宋"/>
          <w:sz w:val="24"/>
          <w:highlight w:val="none"/>
          <w:lang w:val="en-US" w:eastAsia="zh-CN"/>
        </w:rPr>
        <w:t>协同其他报名资料扫描为一个PDF扫描件，按照公告中要求的命名方式发送至</w:t>
      </w:r>
      <w:r>
        <w:rPr>
          <w:rFonts w:hint="eastAsia" w:ascii="仿宋" w:hAnsi="仿宋" w:eastAsia="仿宋" w:cs="仿宋"/>
          <w:sz w:val="24"/>
          <w:highlight w:val="none"/>
        </w:rPr>
        <w:t>电子信箱：syzbgs@vip.163.com。</w:t>
      </w:r>
    </w:p>
    <w:p>
      <w:pPr>
        <w:spacing w:line="360" w:lineRule="auto"/>
        <w:rPr>
          <w:rFonts w:hint="eastAsia" w:ascii="仿宋" w:hAnsi="仿宋" w:eastAsia="仿宋" w:cs="仿宋"/>
          <w:highlight w:val="none"/>
        </w:rPr>
      </w:pPr>
      <w:r>
        <w:rPr>
          <w:rFonts w:hint="eastAsia" w:ascii="仿宋" w:hAnsi="仿宋" w:eastAsia="仿宋" w:cs="仿宋"/>
          <w:sz w:val="24"/>
          <w:highlight w:val="none"/>
        </w:rPr>
        <w:t>2、投标人报名后投标情况有变化的应及时通知山东三誉招标代理有限公司，否则造成的一切后果由投标人承担，业务电话0531-58185101。</w:t>
      </w:r>
    </w:p>
    <w:p>
      <w:pPr>
        <w:rPr>
          <w:rFonts w:hint="eastAsia" w:ascii="仿宋" w:hAnsi="仿宋" w:eastAsia="仿宋" w:cs="仿宋"/>
          <w:highlight w:val="none"/>
        </w:rPr>
      </w:pPr>
    </w:p>
    <w:sectPr>
      <w:foot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b/>
        <w:sz w:val="24"/>
        <w:szCs w:val="24"/>
      </w:rPr>
      <w:fldChar w:fldCharType="begin"/>
    </w:r>
    <w:r>
      <w:rPr>
        <w:b/>
      </w:rPr>
      <w:instrText xml:space="preserve">PAGE</w:instrText>
    </w:r>
    <w:r>
      <w:rPr>
        <w:b/>
        <w:sz w:val="24"/>
        <w:szCs w:val="24"/>
      </w:rPr>
      <w:fldChar w:fldCharType="separate"/>
    </w:r>
    <w:r>
      <w:rPr>
        <w:b/>
      </w:rPr>
      <w:t>6</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6</w:t>
    </w:r>
    <w:r>
      <w:rPr>
        <w:b/>
        <w:sz w:val="24"/>
        <w:szCs w:val="24"/>
      </w:rPr>
      <w:fldChar w:fldCharType="end"/>
    </w:r>
  </w:p>
  <w:p>
    <w:pPr>
      <w:pStyle w:val="5"/>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jgzMmI5ZmUwMzE0MGI5MWNlMTg5OTkzMTBlM2E5NWUifQ=="/>
    <w:docVar w:name="KSO_WPS_MARK_KEY" w:val="ae6fb10e-dc2f-4f0c-9343-de869a896229"/>
  </w:docVars>
  <w:rsids>
    <w:rsidRoot w:val="00F07759"/>
    <w:rsid w:val="00087175"/>
    <w:rsid w:val="000E5393"/>
    <w:rsid w:val="00127753"/>
    <w:rsid w:val="001A2D7D"/>
    <w:rsid w:val="001A7EC4"/>
    <w:rsid w:val="001E6907"/>
    <w:rsid w:val="00294ED8"/>
    <w:rsid w:val="003359FD"/>
    <w:rsid w:val="00385E05"/>
    <w:rsid w:val="0040005E"/>
    <w:rsid w:val="00424F24"/>
    <w:rsid w:val="00442C7F"/>
    <w:rsid w:val="004870F5"/>
    <w:rsid w:val="004D392E"/>
    <w:rsid w:val="00504B46"/>
    <w:rsid w:val="00617E09"/>
    <w:rsid w:val="0066333F"/>
    <w:rsid w:val="006D7DD1"/>
    <w:rsid w:val="006F7A5B"/>
    <w:rsid w:val="00750353"/>
    <w:rsid w:val="00787BCF"/>
    <w:rsid w:val="00824FC9"/>
    <w:rsid w:val="00831AA6"/>
    <w:rsid w:val="008C6072"/>
    <w:rsid w:val="009009E1"/>
    <w:rsid w:val="0097230A"/>
    <w:rsid w:val="009B4864"/>
    <w:rsid w:val="00A833A8"/>
    <w:rsid w:val="00AD036A"/>
    <w:rsid w:val="00AE02E9"/>
    <w:rsid w:val="00AE38F5"/>
    <w:rsid w:val="00B83C31"/>
    <w:rsid w:val="00C035AE"/>
    <w:rsid w:val="00C96F18"/>
    <w:rsid w:val="00CF632D"/>
    <w:rsid w:val="00DA120B"/>
    <w:rsid w:val="00DE53A1"/>
    <w:rsid w:val="00EA2389"/>
    <w:rsid w:val="00F05C60"/>
    <w:rsid w:val="00F06270"/>
    <w:rsid w:val="00F07759"/>
    <w:rsid w:val="00F74A14"/>
    <w:rsid w:val="012208A0"/>
    <w:rsid w:val="013B39D5"/>
    <w:rsid w:val="01B506E8"/>
    <w:rsid w:val="02381A41"/>
    <w:rsid w:val="024E0501"/>
    <w:rsid w:val="042B3D4F"/>
    <w:rsid w:val="046D3D86"/>
    <w:rsid w:val="04E72BB1"/>
    <w:rsid w:val="05CA21F9"/>
    <w:rsid w:val="05D654CD"/>
    <w:rsid w:val="06CD2089"/>
    <w:rsid w:val="089F25C6"/>
    <w:rsid w:val="09002B02"/>
    <w:rsid w:val="0961311E"/>
    <w:rsid w:val="0AF34D05"/>
    <w:rsid w:val="0B42259C"/>
    <w:rsid w:val="0B6B6322"/>
    <w:rsid w:val="0C6745F0"/>
    <w:rsid w:val="0C6B6663"/>
    <w:rsid w:val="0CD22C69"/>
    <w:rsid w:val="0D0269A1"/>
    <w:rsid w:val="0D7E729B"/>
    <w:rsid w:val="0E637F68"/>
    <w:rsid w:val="0F2E4A6E"/>
    <w:rsid w:val="0F6D0760"/>
    <w:rsid w:val="0F8A7B0F"/>
    <w:rsid w:val="10002197"/>
    <w:rsid w:val="101073BE"/>
    <w:rsid w:val="106629F6"/>
    <w:rsid w:val="108D7E4D"/>
    <w:rsid w:val="109825F0"/>
    <w:rsid w:val="10DC408D"/>
    <w:rsid w:val="12065612"/>
    <w:rsid w:val="121F3C87"/>
    <w:rsid w:val="128450E7"/>
    <w:rsid w:val="136366BA"/>
    <w:rsid w:val="1395152B"/>
    <w:rsid w:val="14263A91"/>
    <w:rsid w:val="14DD7437"/>
    <w:rsid w:val="14E7063D"/>
    <w:rsid w:val="14ED5535"/>
    <w:rsid w:val="152109A0"/>
    <w:rsid w:val="15D93023"/>
    <w:rsid w:val="15DE5ED6"/>
    <w:rsid w:val="164C4D8E"/>
    <w:rsid w:val="172C17A9"/>
    <w:rsid w:val="17493916"/>
    <w:rsid w:val="179A6928"/>
    <w:rsid w:val="17A97DE2"/>
    <w:rsid w:val="17DB5B4C"/>
    <w:rsid w:val="187022FD"/>
    <w:rsid w:val="18EA3261"/>
    <w:rsid w:val="18FD3F6F"/>
    <w:rsid w:val="19096657"/>
    <w:rsid w:val="19A5125A"/>
    <w:rsid w:val="1A2D70B4"/>
    <w:rsid w:val="1A306F84"/>
    <w:rsid w:val="1A833EC2"/>
    <w:rsid w:val="1ABB017E"/>
    <w:rsid w:val="1B75596D"/>
    <w:rsid w:val="1B8062A2"/>
    <w:rsid w:val="1C3A725F"/>
    <w:rsid w:val="1CD62B36"/>
    <w:rsid w:val="1CE21F90"/>
    <w:rsid w:val="1DAE7DCF"/>
    <w:rsid w:val="1DFA06A3"/>
    <w:rsid w:val="1E1038E4"/>
    <w:rsid w:val="1E9820B0"/>
    <w:rsid w:val="1EFA5CD2"/>
    <w:rsid w:val="1F3969C0"/>
    <w:rsid w:val="1F4262AB"/>
    <w:rsid w:val="1FBC0EEE"/>
    <w:rsid w:val="206378E1"/>
    <w:rsid w:val="20AC270D"/>
    <w:rsid w:val="20AF1FA9"/>
    <w:rsid w:val="211F423F"/>
    <w:rsid w:val="217D69B9"/>
    <w:rsid w:val="219C4862"/>
    <w:rsid w:val="21BB5295"/>
    <w:rsid w:val="21BC4297"/>
    <w:rsid w:val="220A4192"/>
    <w:rsid w:val="22343EB9"/>
    <w:rsid w:val="22901FF9"/>
    <w:rsid w:val="2299232C"/>
    <w:rsid w:val="22F0607C"/>
    <w:rsid w:val="233D2C3A"/>
    <w:rsid w:val="23492DD2"/>
    <w:rsid w:val="23804CB9"/>
    <w:rsid w:val="23A60508"/>
    <w:rsid w:val="23B2795D"/>
    <w:rsid w:val="24401449"/>
    <w:rsid w:val="251E4F34"/>
    <w:rsid w:val="25353F86"/>
    <w:rsid w:val="253B43C5"/>
    <w:rsid w:val="25F52BCA"/>
    <w:rsid w:val="2634607D"/>
    <w:rsid w:val="2671336B"/>
    <w:rsid w:val="27025F5B"/>
    <w:rsid w:val="2761134E"/>
    <w:rsid w:val="28185678"/>
    <w:rsid w:val="28443B5F"/>
    <w:rsid w:val="28C65CBE"/>
    <w:rsid w:val="28C860F7"/>
    <w:rsid w:val="29375116"/>
    <w:rsid w:val="298C5094"/>
    <w:rsid w:val="29B70890"/>
    <w:rsid w:val="29D16594"/>
    <w:rsid w:val="29FD2DF1"/>
    <w:rsid w:val="2A205B87"/>
    <w:rsid w:val="2A224219"/>
    <w:rsid w:val="2AF30D64"/>
    <w:rsid w:val="2B572B47"/>
    <w:rsid w:val="2B8C730A"/>
    <w:rsid w:val="2CAB1F8D"/>
    <w:rsid w:val="2DFF4C45"/>
    <w:rsid w:val="2E0C1AB8"/>
    <w:rsid w:val="2E2D7AE9"/>
    <w:rsid w:val="2E3D58F0"/>
    <w:rsid w:val="2F380C61"/>
    <w:rsid w:val="2FB322B7"/>
    <w:rsid w:val="2FC84E3A"/>
    <w:rsid w:val="31A61791"/>
    <w:rsid w:val="31C56881"/>
    <w:rsid w:val="31D73940"/>
    <w:rsid w:val="33B10D29"/>
    <w:rsid w:val="34766267"/>
    <w:rsid w:val="351A272F"/>
    <w:rsid w:val="353C01A6"/>
    <w:rsid w:val="355A3E14"/>
    <w:rsid w:val="35E05426"/>
    <w:rsid w:val="37685518"/>
    <w:rsid w:val="37775DB9"/>
    <w:rsid w:val="38216B8B"/>
    <w:rsid w:val="391D3D61"/>
    <w:rsid w:val="395150CA"/>
    <w:rsid w:val="3A8D15F7"/>
    <w:rsid w:val="3B245E62"/>
    <w:rsid w:val="3B3140E6"/>
    <w:rsid w:val="3B8E718B"/>
    <w:rsid w:val="3B940012"/>
    <w:rsid w:val="3BA02539"/>
    <w:rsid w:val="3BD715E3"/>
    <w:rsid w:val="3D6101B3"/>
    <w:rsid w:val="3DAA36C5"/>
    <w:rsid w:val="3EA96452"/>
    <w:rsid w:val="3EE50E13"/>
    <w:rsid w:val="3F506B7A"/>
    <w:rsid w:val="3FA45657"/>
    <w:rsid w:val="3FC424E1"/>
    <w:rsid w:val="40494590"/>
    <w:rsid w:val="404B3A6E"/>
    <w:rsid w:val="40687B37"/>
    <w:rsid w:val="40884242"/>
    <w:rsid w:val="40950B98"/>
    <w:rsid w:val="40CF0912"/>
    <w:rsid w:val="414D39CE"/>
    <w:rsid w:val="416E6AF7"/>
    <w:rsid w:val="41D73C80"/>
    <w:rsid w:val="431C5F81"/>
    <w:rsid w:val="43225F59"/>
    <w:rsid w:val="43426EC1"/>
    <w:rsid w:val="4369452A"/>
    <w:rsid w:val="438644AA"/>
    <w:rsid w:val="43CA7942"/>
    <w:rsid w:val="44151069"/>
    <w:rsid w:val="45071372"/>
    <w:rsid w:val="451F48EE"/>
    <w:rsid w:val="454F66D8"/>
    <w:rsid w:val="4558609E"/>
    <w:rsid w:val="457A2E3A"/>
    <w:rsid w:val="45855E35"/>
    <w:rsid w:val="45F31230"/>
    <w:rsid w:val="464F52D7"/>
    <w:rsid w:val="46E46B3F"/>
    <w:rsid w:val="47111A67"/>
    <w:rsid w:val="479478A0"/>
    <w:rsid w:val="49375E89"/>
    <w:rsid w:val="499D08B1"/>
    <w:rsid w:val="49E00010"/>
    <w:rsid w:val="4AE25091"/>
    <w:rsid w:val="4B991A97"/>
    <w:rsid w:val="4BE1690E"/>
    <w:rsid w:val="4C024CD6"/>
    <w:rsid w:val="4DE507C2"/>
    <w:rsid w:val="4E094EDD"/>
    <w:rsid w:val="4E39053A"/>
    <w:rsid w:val="4F664640"/>
    <w:rsid w:val="4FB764FC"/>
    <w:rsid w:val="503E2A09"/>
    <w:rsid w:val="504E07CA"/>
    <w:rsid w:val="505912F5"/>
    <w:rsid w:val="50637B38"/>
    <w:rsid w:val="506C051D"/>
    <w:rsid w:val="50F316BC"/>
    <w:rsid w:val="527E4FBE"/>
    <w:rsid w:val="52EF42DE"/>
    <w:rsid w:val="534B5D10"/>
    <w:rsid w:val="551A14A5"/>
    <w:rsid w:val="55FD043C"/>
    <w:rsid w:val="56BF5AA4"/>
    <w:rsid w:val="571B1C31"/>
    <w:rsid w:val="57C03084"/>
    <w:rsid w:val="57C2358D"/>
    <w:rsid w:val="57DE52D5"/>
    <w:rsid w:val="585F7DC6"/>
    <w:rsid w:val="59036FE2"/>
    <w:rsid w:val="59064B47"/>
    <w:rsid w:val="5A1C5082"/>
    <w:rsid w:val="5A6C6EC0"/>
    <w:rsid w:val="5AA159FD"/>
    <w:rsid w:val="5AB31E7E"/>
    <w:rsid w:val="5AC9471C"/>
    <w:rsid w:val="5B424D5F"/>
    <w:rsid w:val="5B49165D"/>
    <w:rsid w:val="5B8A1302"/>
    <w:rsid w:val="5C386706"/>
    <w:rsid w:val="5C837F8B"/>
    <w:rsid w:val="5C8A31FB"/>
    <w:rsid w:val="5D245AC0"/>
    <w:rsid w:val="5DCD6ED7"/>
    <w:rsid w:val="5DF94D6D"/>
    <w:rsid w:val="5E12718B"/>
    <w:rsid w:val="5F4D0687"/>
    <w:rsid w:val="5F4E2C09"/>
    <w:rsid w:val="5F516D76"/>
    <w:rsid w:val="6026032C"/>
    <w:rsid w:val="60602346"/>
    <w:rsid w:val="60C1653D"/>
    <w:rsid w:val="61032FD2"/>
    <w:rsid w:val="61390A98"/>
    <w:rsid w:val="625A0266"/>
    <w:rsid w:val="626B719B"/>
    <w:rsid w:val="62744A27"/>
    <w:rsid w:val="630C2E3C"/>
    <w:rsid w:val="635F160D"/>
    <w:rsid w:val="639C3A88"/>
    <w:rsid w:val="641106C5"/>
    <w:rsid w:val="648A5168"/>
    <w:rsid w:val="65722563"/>
    <w:rsid w:val="660A1885"/>
    <w:rsid w:val="66E74C08"/>
    <w:rsid w:val="67A46833"/>
    <w:rsid w:val="6864098F"/>
    <w:rsid w:val="68A6679F"/>
    <w:rsid w:val="68A9611A"/>
    <w:rsid w:val="6943445A"/>
    <w:rsid w:val="69E947AF"/>
    <w:rsid w:val="6A77304C"/>
    <w:rsid w:val="6A8C16D9"/>
    <w:rsid w:val="6AF532DC"/>
    <w:rsid w:val="6AF91AF5"/>
    <w:rsid w:val="6B8321D1"/>
    <w:rsid w:val="6C1B4FD6"/>
    <w:rsid w:val="6D0039E6"/>
    <w:rsid w:val="6D600B99"/>
    <w:rsid w:val="6DFF121E"/>
    <w:rsid w:val="6E4B1CB1"/>
    <w:rsid w:val="6E716C56"/>
    <w:rsid w:val="6EF2290D"/>
    <w:rsid w:val="6FD31DFE"/>
    <w:rsid w:val="7019449F"/>
    <w:rsid w:val="705B05D0"/>
    <w:rsid w:val="708B638F"/>
    <w:rsid w:val="708E04C5"/>
    <w:rsid w:val="709D57C8"/>
    <w:rsid w:val="70F4233C"/>
    <w:rsid w:val="70FD5A41"/>
    <w:rsid w:val="71071DAA"/>
    <w:rsid w:val="71AA67BF"/>
    <w:rsid w:val="71E6726A"/>
    <w:rsid w:val="71FE2EF0"/>
    <w:rsid w:val="732433BA"/>
    <w:rsid w:val="733C35D5"/>
    <w:rsid w:val="73692775"/>
    <w:rsid w:val="73E233A6"/>
    <w:rsid w:val="74400F6C"/>
    <w:rsid w:val="748F4ADC"/>
    <w:rsid w:val="751A7727"/>
    <w:rsid w:val="75427BF8"/>
    <w:rsid w:val="756538F4"/>
    <w:rsid w:val="7667358E"/>
    <w:rsid w:val="781B4319"/>
    <w:rsid w:val="7895679E"/>
    <w:rsid w:val="78A22C2A"/>
    <w:rsid w:val="78E5635C"/>
    <w:rsid w:val="790F40FC"/>
    <w:rsid w:val="792B0B52"/>
    <w:rsid w:val="7AA82E41"/>
    <w:rsid w:val="7BD81B9B"/>
    <w:rsid w:val="7CA47EC1"/>
    <w:rsid w:val="7CBD7597"/>
    <w:rsid w:val="7E7F5A81"/>
    <w:rsid w:val="7F690716"/>
    <w:rsid w:val="7FBD26D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12"/>
    <w:autoRedefine/>
    <w:qFormat/>
    <w:uiPriority w:val="0"/>
    <w:pPr>
      <w:jc w:val="center"/>
      <w:outlineLvl w:val="0"/>
    </w:pPr>
    <w:rPr>
      <w:b/>
      <w:kern w:val="44"/>
      <w:sz w:val="44"/>
    </w:rPr>
  </w:style>
  <w:style w:type="paragraph" w:styleId="2">
    <w:name w:val="heading 2"/>
    <w:basedOn w:val="1"/>
    <w:next w:val="1"/>
    <w:autoRedefine/>
    <w:qFormat/>
    <w:uiPriority w:val="0"/>
    <w:pPr>
      <w:keepNext/>
      <w:keepLines/>
      <w:topLinePunct/>
      <w:adjustRightInd w:val="0"/>
      <w:snapToGrid w:val="0"/>
      <w:spacing w:beforeLines="80" w:afterLines="80"/>
      <w:outlineLvl w:val="1"/>
    </w:pPr>
    <w:rPr>
      <w:rFonts w:ascii="Arial" w:hAnsi="Arial" w:eastAsia="黑体"/>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4">
    <w:name w:val="Balloon Text"/>
    <w:basedOn w:val="1"/>
    <w:link w:val="14"/>
    <w:autoRedefine/>
    <w:semiHidden/>
    <w:unhideWhenUsed/>
    <w:qFormat/>
    <w:uiPriority w:val="99"/>
    <w:rPr>
      <w:sz w:val="18"/>
      <w:szCs w:val="18"/>
    </w:rPr>
  </w:style>
  <w:style w:type="paragraph" w:styleId="5">
    <w:name w:val="footer"/>
    <w:basedOn w:val="1"/>
    <w:link w:val="11"/>
    <w:autoRedefine/>
    <w:unhideWhenUsed/>
    <w:qFormat/>
    <w:uiPriority w:val="99"/>
    <w:pPr>
      <w:tabs>
        <w:tab w:val="center" w:pos="4153"/>
        <w:tab w:val="right" w:pos="8306"/>
      </w:tabs>
      <w:snapToGrid w:val="0"/>
      <w:jc w:val="left"/>
    </w:pPr>
    <w:rPr>
      <w:sz w:val="18"/>
      <w:szCs w:val="18"/>
    </w:rPr>
  </w:style>
  <w:style w:type="paragraph" w:styleId="6">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Hyperlink"/>
    <w:basedOn w:val="8"/>
    <w:autoRedefine/>
    <w:qFormat/>
    <w:uiPriority w:val="99"/>
    <w:rPr>
      <w:color w:val="0000FF"/>
      <w:u w:val="single"/>
    </w:rPr>
  </w:style>
  <w:style w:type="character" w:customStyle="1" w:styleId="10">
    <w:name w:val="页眉 Char"/>
    <w:basedOn w:val="8"/>
    <w:link w:val="6"/>
    <w:autoRedefine/>
    <w:qFormat/>
    <w:uiPriority w:val="99"/>
    <w:rPr>
      <w:sz w:val="18"/>
      <w:szCs w:val="18"/>
    </w:rPr>
  </w:style>
  <w:style w:type="character" w:customStyle="1" w:styleId="11">
    <w:name w:val="页脚 Char"/>
    <w:basedOn w:val="8"/>
    <w:link w:val="5"/>
    <w:autoRedefine/>
    <w:qFormat/>
    <w:uiPriority w:val="99"/>
    <w:rPr>
      <w:sz w:val="18"/>
      <w:szCs w:val="18"/>
    </w:rPr>
  </w:style>
  <w:style w:type="character" w:customStyle="1" w:styleId="12">
    <w:name w:val="标题 1 Char"/>
    <w:basedOn w:val="8"/>
    <w:link w:val="3"/>
    <w:autoRedefine/>
    <w:qFormat/>
    <w:uiPriority w:val="0"/>
    <w:rPr>
      <w:rFonts w:ascii="Times New Roman" w:hAnsi="Times New Roman" w:eastAsia="宋体" w:cs="Times New Roman"/>
      <w:b/>
      <w:kern w:val="44"/>
      <w:sz w:val="44"/>
      <w:szCs w:val="20"/>
    </w:rPr>
  </w:style>
  <w:style w:type="paragraph" w:customStyle="1" w:styleId="13">
    <w:name w:val="Normal_1"/>
    <w:autoRedefine/>
    <w:qFormat/>
    <w:uiPriority w:val="0"/>
    <w:pPr>
      <w:widowControl w:val="0"/>
      <w:jc w:val="both"/>
    </w:pPr>
    <w:rPr>
      <w:rFonts w:ascii="Times New Roman" w:hAnsi="Times New Roman" w:eastAsia="宋体" w:cs="Times New Roman"/>
      <w:lang w:val="en-US" w:eastAsia="zh-CN" w:bidi="ar-SA"/>
    </w:rPr>
  </w:style>
  <w:style w:type="character" w:customStyle="1" w:styleId="14">
    <w:name w:val="批注框文本 Char"/>
    <w:basedOn w:val="8"/>
    <w:link w:val="4"/>
    <w:autoRedefine/>
    <w:semiHidden/>
    <w:qFormat/>
    <w:uiPriority w:val="99"/>
    <w:rPr>
      <w:rFonts w:ascii="Times New Roman" w:hAnsi="Times New Roman" w:eastAsia="宋体" w:cs="Times New Roman"/>
      <w:sz w:val="18"/>
      <w:szCs w:val="18"/>
    </w:rPr>
  </w:style>
  <w:style w:type="paragraph" w:customStyle="1" w:styleId="15">
    <w:name w:val="No Spacing"/>
    <w:autoRedefine/>
    <w:qFormat/>
    <w:uiPriority w:val="1"/>
    <w:rPr>
      <w:rFonts w:ascii="宋体" w:hAnsi="宋体" w:eastAsia="宋体" w:cs="宋体"/>
      <w:kern w:val="0"/>
      <w:sz w:val="24"/>
      <w:szCs w:val="24"/>
      <w:lang w:val="en-US" w:eastAsia="zh-CN" w:bidi="ar-SA"/>
    </w:rPr>
  </w:style>
  <w:style w:type="paragraph" w:styleId="16">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12</Pages>
  <Words>2768</Words>
  <Characters>3195</Characters>
  <Lines>28</Lines>
  <Paragraphs>8</Paragraphs>
  <TotalTime>1</TotalTime>
  <ScaleCrop>false</ScaleCrop>
  <LinksUpToDate>false</LinksUpToDate>
  <CharactersWithSpaces>3215</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2021-02-01T07:47:00Z</dcterms:created>
  <dc:creator>CX2020111</dc:creator>
  <cp:lastModifiedBy>企业用户_290563381</cp:lastModifiedBy>
  <dcterms:modified xsi:type="dcterms:W3CDTF">2024-04-28T13:56:11Z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6F2B01104285491D858606FBE43B4915</vt:lpwstr>
  </property>
</Properties>
</file>