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377C3D6">
      <w:pPr>
        <w:shd w:val="clear"/>
        <w:adjustRightInd w:val="0"/>
        <w:snapToGrid w:val="0"/>
        <w:spacing w:beforeLines="100" w:afterLines="50" w:line="400" w:lineRule="exact"/>
        <w:outlineLvl w:val="1"/>
        <w:rPr>
          <w:rFonts w:hint="eastAsia" w:ascii="宋体" w:hAnsi="宋体" w:eastAsia="宋体" w:cs="宋体"/>
          <w:b/>
          <w:color w:val="auto"/>
          <w:sz w:val="28"/>
          <w:szCs w:val="28"/>
          <w:highlight w:val="none"/>
          <w:lang w:val="en-US" w:eastAsia="zh-CN"/>
        </w:rPr>
      </w:pPr>
      <w:r>
        <w:rPr>
          <w:rFonts w:hint="eastAsia" w:ascii="宋体" w:hAnsi="宋体" w:eastAsia="宋体" w:cs="宋体"/>
          <w:b/>
          <w:color w:val="auto"/>
          <w:sz w:val="28"/>
          <w:szCs w:val="28"/>
          <w:highlight w:val="none"/>
          <w:lang w:val="en-US" w:eastAsia="zh-CN"/>
        </w:rPr>
        <w:t>采购公告附件：</w:t>
      </w:r>
    </w:p>
    <w:tbl>
      <w:tblPr>
        <w:tblStyle w:val="9"/>
        <w:tblW w:w="1216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70"/>
        <w:gridCol w:w="1138"/>
        <w:gridCol w:w="2675"/>
        <w:gridCol w:w="787"/>
        <w:gridCol w:w="763"/>
        <w:gridCol w:w="1091"/>
        <w:gridCol w:w="1109"/>
        <w:gridCol w:w="1144"/>
        <w:gridCol w:w="1144"/>
        <w:gridCol w:w="1144"/>
      </w:tblGrid>
      <w:tr w14:paraId="008333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1170" w:type="dxa"/>
            <w:shd w:val="clear" w:color="auto" w:fill="auto"/>
            <w:vAlign w:val="center"/>
          </w:tcPr>
          <w:p w14:paraId="2106D3A2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  <w:t>项目名称</w:t>
            </w:r>
          </w:p>
        </w:tc>
        <w:tc>
          <w:tcPr>
            <w:tcW w:w="1138" w:type="dxa"/>
            <w:shd w:val="clear" w:color="auto" w:fill="auto"/>
            <w:vAlign w:val="center"/>
          </w:tcPr>
          <w:p w14:paraId="5B7C9A83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  <w:t>物资名称</w:t>
            </w:r>
          </w:p>
        </w:tc>
        <w:tc>
          <w:tcPr>
            <w:tcW w:w="2675" w:type="dxa"/>
            <w:shd w:val="clear" w:color="auto" w:fill="auto"/>
            <w:vAlign w:val="center"/>
          </w:tcPr>
          <w:p w14:paraId="45AB0566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  <w:t>主要技术要求</w:t>
            </w:r>
          </w:p>
        </w:tc>
        <w:tc>
          <w:tcPr>
            <w:tcW w:w="787" w:type="dxa"/>
            <w:shd w:val="clear" w:color="auto" w:fill="auto"/>
            <w:vAlign w:val="center"/>
          </w:tcPr>
          <w:p w14:paraId="63455499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  <w:t>单位</w:t>
            </w:r>
          </w:p>
        </w:tc>
        <w:tc>
          <w:tcPr>
            <w:tcW w:w="763" w:type="dxa"/>
            <w:shd w:val="clear" w:color="auto" w:fill="auto"/>
            <w:vAlign w:val="center"/>
          </w:tcPr>
          <w:p w14:paraId="3453E104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  <w:t>数量</w:t>
            </w:r>
          </w:p>
        </w:tc>
        <w:tc>
          <w:tcPr>
            <w:tcW w:w="1091" w:type="dxa"/>
            <w:shd w:val="clear" w:color="auto" w:fill="auto"/>
            <w:vAlign w:val="center"/>
          </w:tcPr>
          <w:p w14:paraId="7624D739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  <w:t>交货日期</w:t>
            </w:r>
          </w:p>
        </w:tc>
        <w:tc>
          <w:tcPr>
            <w:tcW w:w="1109" w:type="dxa"/>
            <w:shd w:val="clear" w:color="auto" w:fill="auto"/>
            <w:vAlign w:val="center"/>
          </w:tcPr>
          <w:p w14:paraId="740DA9F1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  <w:t>质保期</w:t>
            </w: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（</w:t>
            </w: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不低于</w:t>
            </w: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）</w:t>
            </w:r>
          </w:p>
        </w:tc>
        <w:tc>
          <w:tcPr>
            <w:tcW w:w="1144" w:type="dxa"/>
            <w:shd w:val="clear" w:color="auto" w:fill="auto"/>
            <w:vAlign w:val="center"/>
          </w:tcPr>
          <w:p w14:paraId="09DA3A19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  <w:t>交货地点</w:t>
            </w:r>
          </w:p>
        </w:tc>
        <w:tc>
          <w:tcPr>
            <w:tcW w:w="1144" w:type="dxa"/>
            <w:shd w:val="clear" w:color="auto" w:fill="auto"/>
            <w:vAlign w:val="center"/>
          </w:tcPr>
          <w:p w14:paraId="4C071C30">
            <w:pPr>
              <w:widowControl/>
              <w:spacing w:line="240" w:lineRule="auto"/>
              <w:jc w:val="center"/>
              <w:rPr>
                <w:rFonts w:hint="default" w:ascii="宋体" w:hAnsi="宋体" w:eastAsia="宋体" w:cs="宋体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专用业绩要求</w:t>
            </w:r>
          </w:p>
        </w:tc>
        <w:tc>
          <w:tcPr>
            <w:tcW w:w="1144" w:type="dxa"/>
            <w:shd w:val="clear" w:color="auto" w:fill="auto"/>
            <w:vAlign w:val="center"/>
          </w:tcPr>
          <w:p w14:paraId="5DCFC967">
            <w:pPr>
              <w:widowControl/>
              <w:spacing w:line="240" w:lineRule="auto"/>
              <w:jc w:val="center"/>
              <w:rPr>
                <w:rFonts w:hint="default" w:ascii="宋体" w:hAnsi="宋体" w:eastAsia="宋体" w:cs="宋体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保证金金额（万元）</w:t>
            </w:r>
          </w:p>
        </w:tc>
      </w:tr>
      <w:tr w14:paraId="49D8F9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6" w:hRule="atLeast"/>
          <w:jc w:val="center"/>
        </w:trPr>
        <w:tc>
          <w:tcPr>
            <w:tcW w:w="1170" w:type="dxa"/>
            <w:vMerge w:val="restart"/>
            <w:shd w:val="clear" w:color="auto" w:fill="auto"/>
            <w:vAlign w:val="center"/>
          </w:tcPr>
          <w:p w14:paraId="17C579AF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智能存储计量周转柜采购项目</w:t>
            </w:r>
          </w:p>
        </w:tc>
        <w:tc>
          <w:tcPr>
            <w:tcW w:w="1138" w:type="dxa"/>
            <w:shd w:val="clear" w:color="auto" w:fill="auto"/>
            <w:vAlign w:val="center"/>
          </w:tcPr>
          <w:p w14:paraId="0E6C310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adjustRightInd/>
              <w:snapToGrid w:val="0"/>
              <w:ind w:firstLine="0" w:firstLineChars="0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sz w:val="20"/>
                <w:szCs w:val="20"/>
                <w:highlight w:val="none"/>
                <w:lang w:eastAsia="zh-CN"/>
              </w:rPr>
              <w:t>基础型电能计量</w:t>
            </w:r>
            <w:r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  <w:t>周转柜</w:t>
            </w:r>
          </w:p>
        </w:tc>
        <w:tc>
          <w:tcPr>
            <w:tcW w:w="2675" w:type="dxa"/>
            <w:shd w:val="clear" w:color="auto" w:fill="auto"/>
            <w:vAlign w:val="center"/>
          </w:tcPr>
          <w:p w14:paraId="584A8EE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adjustRightInd/>
              <w:snapToGrid w:val="0"/>
              <w:ind w:firstLine="0" w:firstLineChars="0"/>
              <w:jc w:val="left"/>
              <w:rPr>
                <w:rFonts w:hint="eastAsia" w:ascii="宋体" w:hAnsi="宋体" w:eastAsia="宋体" w:cs="宋体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highlight w:val="none"/>
                <w:lang w:val="en-US" w:eastAsia="zh-CN"/>
              </w:rPr>
              <w:t>1.</w:t>
            </w:r>
            <w:r>
              <w:rPr>
                <w:rFonts w:hint="eastAsia" w:ascii="宋体" w:hAnsi="宋体" w:cs="宋体"/>
                <w:sz w:val="20"/>
                <w:szCs w:val="20"/>
                <w:highlight w:val="none"/>
                <w:lang w:val="en-US" w:eastAsia="zh-CN"/>
              </w:rPr>
              <w:t>基础型电能计量</w:t>
            </w:r>
            <w:r>
              <w:rPr>
                <w:rFonts w:hint="eastAsia" w:ascii="宋体" w:hAnsi="宋体" w:eastAsia="宋体" w:cs="宋体"/>
                <w:sz w:val="20"/>
                <w:szCs w:val="20"/>
                <w:highlight w:val="none"/>
                <w:lang w:val="en-US" w:eastAsia="zh-CN"/>
              </w:rPr>
              <w:t>周转柜</w:t>
            </w:r>
            <w:r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  <w:t>由一个控制柜和一个存储柜构成</w:t>
            </w:r>
            <w:r>
              <w:rPr>
                <w:rFonts w:hint="eastAsia" w:ascii="宋体" w:hAnsi="宋体" w:eastAsia="宋体" w:cs="宋体"/>
                <w:sz w:val="20"/>
                <w:szCs w:val="20"/>
                <w:highlight w:val="none"/>
                <w:lang w:eastAsia="zh-CN"/>
              </w:rPr>
              <w:t>，</w:t>
            </w:r>
            <w:r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  <w:t>系统采用linux系统，并通过与SG186系统、MDS系统及其他管理系统接口，实现柜内计量资产的智能化仓储管理</w:t>
            </w:r>
            <w:r>
              <w:rPr>
                <w:rFonts w:hint="eastAsia" w:ascii="宋体" w:hAnsi="宋体" w:eastAsia="宋体" w:cs="宋体"/>
                <w:sz w:val="20"/>
                <w:szCs w:val="20"/>
                <w:highlight w:val="none"/>
                <w:lang w:eastAsia="zh-CN"/>
              </w:rPr>
              <w:t>。</w:t>
            </w:r>
          </w:p>
          <w:p w14:paraId="78B1EA3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adjustRightInd/>
              <w:snapToGrid w:val="0"/>
              <w:ind w:firstLine="0" w:firstLineChars="0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highlight w:val="none"/>
                <w:lang w:val="en-US" w:eastAsia="zh-CN"/>
              </w:rPr>
              <w:t>2.</w:t>
            </w:r>
            <w:r>
              <w:rPr>
                <w:rFonts w:hint="eastAsia" w:ascii="宋体" w:hAnsi="宋体" w:eastAsia="宋体" w:cs="宋体"/>
                <w:sz w:val="20"/>
                <w:szCs w:val="20"/>
                <w:highlight w:val="none"/>
                <w:lang w:eastAsia="zh-CN"/>
              </w:rPr>
              <w:t>控制柜外部尺寸长*宽*高不大于465*620*1930mm，包括控制机构和控制电路，主要用于实现人机交互、数据处理、设备控制、系统对接等功能；</w:t>
            </w:r>
            <w:r>
              <w:rPr>
                <w:rFonts w:hint="eastAsia" w:ascii="宋体" w:hAnsi="宋体" w:eastAsia="宋体" w:cs="宋体"/>
                <w:sz w:val="20"/>
                <w:szCs w:val="20"/>
                <w:highlight w:val="none"/>
                <w:lang w:eastAsia="zh-CN"/>
              </w:rPr>
              <w:br w:type="textWrapping"/>
            </w:r>
            <w:r>
              <w:rPr>
                <w:rFonts w:hint="eastAsia" w:ascii="宋体" w:hAnsi="宋体" w:eastAsia="宋体" w:cs="宋体"/>
                <w:sz w:val="20"/>
                <w:szCs w:val="20"/>
                <w:highlight w:val="none"/>
                <w:lang w:val="en-US" w:eastAsia="zh-CN"/>
              </w:rPr>
              <w:t>3.</w:t>
            </w:r>
            <w:r>
              <w:rPr>
                <w:rFonts w:hint="eastAsia" w:ascii="宋体" w:hAnsi="宋体" w:eastAsia="宋体" w:cs="宋体"/>
                <w:sz w:val="20"/>
                <w:szCs w:val="20"/>
                <w:highlight w:val="none"/>
                <w:lang w:eastAsia="zh-CN"/>
              </w:rPr>
              <w:t>存储柜外部尺寸长*宽*高不大于465*620*1930mm，包括底座、壳体、托盘、玻璃门、电机锁、扫描器等装置，主要用于计量资产的存储。</w:t>
            </w:r>
          </w:p>
        </w:tc>
        <w:tc>
          <w:tcPr>
            <w:tcW w:w="787" w:type="dxa"/>
            <w:shd w:val="clear" w:color="auto" w:fill="auto"/>
            <w:vAlign w:val="center"/>
          </w:tcPr>
          <w:p w14:paraId="736CC4D0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台</w:t>
            </w:r>
          </w:p>
        </w:tc>
        <w:tc>
          <w:tcPr>
            <w:tcW w:w="763" w:type="dxa"/>
            <w:shd w:val="clear" w:color="auto" w:fill="auto"/>
            <w:vAlign w:val="center"/>
          </w:tcPr>
          <w:p w14:paraId="4F693022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9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0</w:t>
            </w:r>
          </w:p>
        </w:tc>
        <w:tc>
          <w:tcPr>
            <w:tcW w:w="1091" w:type="dxa"/>
            <w:shd w:val="clear" w:color="auto" w:fill="auto"/>
            <w:vAlign w:val="center"/>
          </w:tcPr>
          <w:p w14:paraId="7459E19C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接供货通知后10日内</w:t>
            </w:r>
          </w:p>
        </w:tc>
        <w:tc>
          <w:tcPr>
            <w:tcW w:w="1109" w:type="dxa"/>
            <w:shd w:val="clear" w:color="auto" w:fill="auto"/>
            <w:vAlign w:val="center"/>
          </w:tcPr>
          <w:p w14:paraId="6792A77B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3年</w:t>
            </w:r>
          </w:p>
        </w:tc>
        <w:tc>
          <w:tcPr>
            <w:tcW w:w="1144" w:type="dxa"/>
            <w:shd w:val="clear" w:color="auto" w:fill="auto"/>
            <w:vAlign w:val="center"/>
          </w:tcPr>
          <w:p w14:paraId="471E0A4A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买方指定地点</w:t>
            </w:r>
          </w:p>
        </w:tc>
        <w:tc>
          <w:tcPr>
            <w:tcW w:w="1144" w:type="dxa"/>
            <w:vMerge w:val="restart"/>
            <w:shd w:val="clear" w:color="auto" w:fill="auto"/>
            <w:vAlign w:val="center"/>
          </w:tcPr>
          <w:p w14:paraId="56550723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000000"/>
                <w:kern w:val="0"/>
                <w:sz w:val="20"/>
                <w:szCs w:val="20"/>
                <w:highlight w:val="none"/>
              </w:rPr>
              <w:t>业绩要求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000000"/>
                <w:kern w:val="0"/>
                <w:sz w:val="20"/>
                <w:szCs w:val="20"/>
                <w:highlight w:val="none"/>
                <w:lang w:eastAsia="zh-CN"/>
              </w:rPr>
              <w:t>：</w:t>
            </w: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kern w:val="0"/>
                <w:sz w:val="20"/>
                <w:szCs w:val="20"/>
                <w:highlight w:val="none"/>
                <w14:textFill>
                  <w14:solidFill>
                    <w14:schemeClr w14:val="tx1"/>
                  </w14:solidFill>
                </w14:textFill>
              </w:rPr>
              <w:t>2021年1月1日至招标采购公告发布日止，完成过智能</w:t>
            </w: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kern w:val="0"/>
                <w:sz w:val="20"/>
                <w:szCs w:val="20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库房设备</w:t>
            </w: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kern w:val="0"/>
                <w:sz w:val="20"/>
                <w:szCs w:val="20"/>
                <w:highlight w:val="none"/>
                <w14:textFill>
                  <w14:solidFill>
                    <w14:schemeClr w14:val="tx1"/>
                  </w14:solidFill>
                </w14:textFill>
              </w:rPr>
              <w:t>累计销售业绩不少于2份，合同额累计不少于</w:t>
            </w: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kern w:val="0"/>
                <w:sz w:val="20"/>
                <w:szCs w:val="20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</w:t>
            </w: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kern w:val="0"/>
                <w:sz w:val="20"/>
                <w:szCs w:val="20"/>
                <w:highlight w:val="none"/>
                <w14:textFill>
                  <w14:solidFill>
                    <w14:schemeClr w14:val="tx1"/>
                  </w14:solidFill>
                </w14:textFill>
              </w:rPr>
              <w:t>0万。注：业绩必须提供对应的合同复印件。</w:t>
            </w:r>
          </w:p>
        </w:tc>
        <w:tc>
          <w:tcPr>
            <w:tcW w:w="1144" w:type="dxa"/>
            <w:vMerge w:val="restart"/>
            <w:shd w:val="clear" w:color="auto" w:fill="auto"/>
            <w:vAlign w:val="center"/>
          </w:tcPr>
          <w:p w14:paraId="099EB6CE">
            <w:pPr>
              <w:widowControl/>
              <w:spacing w:line="240" w:lineRule="auto"/>
              <w:jc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2.5</w:t>
            </w:r>
          </w:p>
        </w:tc>
      </w:tr>
      <w:tr w14:paraId="6B6A33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6" w:hRule="atLeast"/>
          <w:jc w:val="center"/>
        </w:trPr>
        <w:tc>
          <w:tcPr>
            <w:tcW w:w="1170" w:type="dxa"/>
            <w:vMerge w:val="continue"/>
            <w:shd w:val="clear" w:color="auto" w:fill="auto"/>
            <w:vAlign w:val="center"/>
          </w:tcPr>
          <w:p w14:paraId="174F675A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  <w:tc>
          <w:tcPr>
            <w:tcW w:w="1138" w:type="dxa"/>
            <w:shd w:val="clear" w:color="auto" w:fill="auto"/>
            <w:vAlign w:val="center"/>
          </w:tcPr>
          <w:p w14:paraId="2D916EB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adjustRightInd/>
              <w:snapToGrid w:val="0"/>
              <w:ind w:firstLine="0" w:firstLineChars="0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sz w:val="20"/>
                <w:szCs w:val="20"/>
                <w:highlight w:val="none"/>
                <w:lang w:eastAsia="zh-CN"/>
              </w:rPr>
              <w:t>扩容A型电能计量</w:t>
            </w:r>
            <w:r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  <w:t>周转柜</w:t>
            </w:r>
          </w:p>
        </w:tc>
        <w:tc>
          <w:tcPr>
            <w:tcW w:w="2675" w:type="dxa"/>
            <w:shd w:val="clear" w:color="auto" w:fill="auto"/>
            <w:vAlign w:val="center"/>
          </w:tcPr>
          <w:p w14:paraId="058CBFA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adjustRightInd/>
              <w:snapToGrid w:val="0"/>
              <w:ind w:firstLine="0" w:firstLineChars="0"/>
              <w:jc w:val="left"/>
              <w:rPr>
                <w:rFonts w:hint="eastAsia" w:ascii="宋体" w:hAnsi="宋体" w:eastAsia="宋体" w:cs="宋体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highlight w:val="none"/>
                <w:lang w:val="en-US" w:eastAsia="zh-CN"/>
              </w:rPr>
              <w:t>1.</w:t>
            </w:r>
            <w:r>
              <w:rPr>
                <w:rFonts w:hint="eastAsia" w:ascii="宋体" w:hAnsi="宋体" w:cs="宋体"/>
                <w:sz w:val="20"/>
                <w:szCs w:val="20"/>
                <w:highlight w:val="none"/>
                <w:lang w:eastAsia="zh-CN"/>
              </w:rPr>
              <w:t>扩容A型</w:t>
            </w:r>
            <w:r>
              <w:rPr>
                <w:rFonts w:hint="eastAsia" w:ascii="宋体" w:hAnsi="宋体" w:eastAsia="宋体" w:cs="宋体"/>
                <w:sz w:val="20"/>
                <w:szCs w:val="20"/>
                <w:highlight w:val="none"/>
                <w:lang w:val="en-US" w:eastAsia="zh-CN"/>
              </w:rPr>
              <w:t>电能计量周转柜</w:t>
            </w:r>
            <w:r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  <w:t>由一个控制柜和</w:t>
            </w:r>
            <w:r>
              <w:rPr>
                <w:rFonts w:hint="eastAsia" w:ascii="宋体" w:hAnsi="宋体" w:eastAsia="宋体" w:cs="宋体"/>
                <w:sz w:val="20"/>
                <w:szCs w:val="20"/>
                <w:highlight w:val="none"/>
                <w:lang w:val="en-US" w:eastAsia="zh-CN"/>
              </w:rPr>
              <w:t>两</w:t>
            </w:r>
            <w:r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  <w:t>个存储柜构成</w:t>
            </w:r>
            <w:r>
              <w:rPr>
                <w:rFonts w:hint="eastAsia" w:ascii="宋体" w:hAnsi="宋体" w:eastAsia="宋体" w:cs="宋体"/>
                <w:sz w:val="20"/>
                <w:szCs w:val="20"/>
                <w:highlight w:val="none"/>
                <w:lang w:eastAsia="zh-CN"/>
              </w:rPr>
              <w:t>，</w:t>
            </w:r>
            <w:r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  <w:t>系统采用linux系统，并通过与SG186系统、MDS系统及其他管理系统接口，实现柜内计量资产的智能化仓储管理</w:t>
            </w:r>
            <w:r>
              <w:rPr>
                <w:rFonts w:hint="eastAsia" w:ascii="宋体" w:hAnsi="宋体" w:eastAsia="宋体" w:cs="宋体"/>
                <w:sz w:val="20"/>
                <w:szCs w:val="20"/>
                <w:highlight w:val="none"/>
                <w:lang w:eastAsia="zh-CN"/>
              </w:rPr>
              <w:t>。</w:t>
            </w:r>
          </w:p>
          <w:p w14:paraId="5D49A08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adjustRightInd/>
              <w:snapToGrid w:val="0"/>
              <w:ind w:firstLine="0" w:firstLineChars="0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highlight w:val="none"/>
                <w:lang w:val="en-US" w:eastAsia="zh-CN"/>
              </w:rPr>
              <w:t>2.</w:t>
            </w:r>
            <w:r>
              <w:rPr>
                <w:rFonts w:hint="eastAsia" w:ascii="宋体" w:hAnsi="宋体" w:eastAsia="宋体" w:cs="宋体"/>
                <w:sz w:val="20"/>
                <w:szCs w:val="20"/>
                <w:highlight w:val="none"/>
                <w:lang w:eastAsia="zh-CN"/>
              </w:rPr>
              <w:t>控制柜外部尺寸长*宽*高不大于465*620*1930mm，包括控制机构和控制电路，主要用于实现人机交互、数据处理、设备控制、系统对接等功能；</w:t>
            </w:r>
            <w:r>
              <w:rPr>
                <w:rFonts w:hint="eastAsia" w:ascii="宋体" w:hAnsi="宋体" w:eastAsia="宋体" w:cs="宋体"/>
                <w:sz w:val="20"/>
                <w:szCs w:val="20"/>
                <w:highlight w:val="none"/>
                <w:lang w:eastAsia="zh-CN"/>
              </w:rPr>
              <w:br w:type="textWrapping"/>
            </w:r>
            <w:r>
              <w:rPr>
                <w:rFonts w:hint="eastAsia" w:ascii="宋体" w:hAnsi="宋体" w:eastAsia="宋体" w:cs="宋体"/>
                <w:sz w:val="20"/>
                <w:szCs w:val="20"/>
                <w:highlight w:val="none"/>
                <w:lang w:val="en-US" w:eastAsia="zh-CN"/>
              </w:rPr>
              <w:t>3.</w:t>
            </w:r>
            <w:r>
              <w:rPr>
                <w:rFonts w:hint="eastAsia" w:ascii="宋体" w:hAnsi="宋体" w:eastAsia="宋体" w:cs="宋体"/>
                <w:sz w:val="20"/>
                <w:szCs w:val="20"/>
                <w:highlight w:val="none"/>
                <w:lang w:eastAsia="zh-CN"/>
              </w:rPr>
              <w:t>存储柜外部尺寸长*宽*高不大于465*620*1930mm，包括底座、壳体、托盘、玻璃门、电机锁、扫描器等装置，主要用于计量资产的存储。</w:t>
            </w:r>
          </w:p>
        </w:tc>
        <w:tc>
          <w:tcPr>
            <w:tcW w:w="787" w:type="dxa"/>
            <w:shd w:val="clear" w:color="auto" w:fill="auto"/>
            <w:vAlign w:val="center"/>
          </w:tcPr>
          <w:p w14:paraId="6F7CB846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台</w:t>
            </w:r>
          </w:p>
        </w:tc>
        <w:tc>
          <w:tcPr>
            <w:tcW w:w="763" w:type="dxa"/>
            <w:shd w:val="clear" w:color="auto" w:fill="auto"/>
            <w:vAlign w:val="center"/>
          </w:tcPr>
          <w:p w14:paraId="454B31B6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10</w:t>
            </w:r>
          </w:p>
        </w:tc>
        <w:tc>
          <w:tcPr>
            <w:tcW w:w="1091" w:type="dxa"/>
            <w:shd w:val="clear" w:color="auto" w:fill="auto"/>
            <w:vAlign w:val="center"/>
          </w:tcPr>
          <w:p w14:paraId="30304936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接供货通知后10日内</w:t>
            </w:r>
          </w:p>
        </w:tc>
        <w:tc>
          <w:tcPr>
            <w:tcW w:w="1109" w:type="dxa"/>
            <w:shd w:val="clear" w:color="auto" w:fill="auto"/>
            <w:vAlign w:val="center"/>
          </w:tcPr>
          <w:p w14:paraId="40FF71F2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3年</w:t>
            </w:r>
          </w:p>
        </w:tc>
        <w:tc>
          <w:tcPr>
            <w:tcW w:w="1144" w:type="dxa"/>
            <w:shd w:val="clear" w:color="auto" w:fill="auto"/>
            <w:vAlign w:val="center"/>
          </w:tcPr>
          <w:p w14:paraId="1F67FE52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买方指定地点</w:t>
            </w:r>
          </w:p>
        </w:tc>
        <w:tc>
          <w:tcPr>
            <w:tcW w:w="1144" w:type="dxa"/>
            <w:vMerge w:val="continue"/>
            <w:shd w:val="clear" w:color="auto" w:fill="auto"/>
            <w:vAlign w:val="center"/>
          </w:tcPr>
          <w:p w14:paraId="72545646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  <w:tc>
          <w:tcPr>
            <w:tcW w:w="1144" w:type="dxa"/>
            <w:vMerge w:val="continue"/>
            <w:shd w:val="clear" w:color="auto" w:fill="auto"/>
            <w:vAlign w:val="center"/>
          </w:tcPr>
          <w:p w14:paraId="4821B155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  <w:tr w14:paraId="382751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6" w:hRule="atLeast"/>
          <w:jc w:val="center"/>
        </w:trPr>
        <w:tc>
          <w:tcPr>
            <w:tcW w:w="1170" w:type="dxa"/>
            <w:vMerge w:val="continue"/>
            <w:shd w:val="clear" w:color="auto" w:fill="auto"/>
            <w:vAlign w:val="center"/>
          </w:tcPr>
          <w:p w14:paraId="7065F9BE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  <w:tc>
          <w:tcPr>
            <w:tcW w:w="1138" w:type="dxa"/>
            <w:shd w:val="clear" w:color="auto" w:fill="auto"/>
            <w:vAlign w:val="center"/>
          </w:tcPr>
          <w:p w14:paraId="06509AD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adjustRightInd/>
              <w:snapToGrid w:val="0"/>
              <w:ind w:firstLine="0" w:firstLineChars="0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sz w:val="20"/>
                <w:szCs w:val="20"/>
                <w:highlight w:val="none"/>
                <w:lang w:val="en-US" w:eastAsia="zh-CN"/>
              </w:rPr>
              <w:t>扩容B型</w:t>
            </w:r>
            <w:r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  <w:t>电能计量周转柜</w:t>
            </w:r>
          </w:p>
        </w:tc>
        <w:tc>
          <w:tcPr>
            <w:tcW w:w="2675" w:type="dxa"/>
            <w:shd w:val="clear" w:color="auto" w:fill="auto"/>
            <w:vAlign w:val="center"/>
          </w:tcPr>
          <w:p w14:paraId="637C3E6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adjustRightInd/>
              <w:snapToGrid w:val="0"/>
              <w:ind w:firstLine="0" w:firstLineChars="0"/>
              <w:jc w:val="left"/>
              <w:rPr>
                <w:rFonts w:hint="eastAsia" w:ascii="宋体" w:hAnsi="宋体" w:eastAsia="宋体" w:cs="宋体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highlight w:val="none"/>
                <w:lang w:val="en-US" w:eastAsia="zh-CN"/>
              </w:rPr>
              <w:t>1.</w:t>
            </w:r>
            <w:r>
              <w:rPr>
                <w:rFonts w:hint="eastAsia" w:ascii="宋体" w:hAnsi="宋体" w:cs="宋体"/>
                <w:sz w:val="20"/>
                <w:szCs w:val="20"/>
                <w:highlight w:val="none"/>
                <w:lang w:val="en-US" w:eastAsia="zh-CN"/>
              </w:rPr>
              <w:t>扩容B型</w:t>
            </w:r>
            <w:r>
              <w:rPr>
                <w:rFonts w:hint="eastAsia" w:ascii="宋体" w:hAnsi="宋体" w:eastAsia="宋体" w:cs="宋体"/>
                <w:sz w:val="20"/>
                <w:szCs w:val="20"/>
                <w:highlight w:val="none"/>
                <w:lang w:val="en-US" w:eastAsia="zh-CN"/>
              </w:rPr>
              <w:t>电能计量周转柜</w:t>
            </w:r>
            <w:r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  <w:t>由一个控制柜和</w:t>
            </w:r>
            <w:r>
              <w:rPr>
                <w:rFonts w:hint="eastAsia" w:ascii="宋体" w:hAnsi="宋体" w:eastAsia="宋体" w:cs="宋体"/>
                <w:sz w:val="20"/>
                <w:szCs w:val="20"/>
                <w:highlight w:val="none"/>
                <w:lang w:val="en-US" w:eastAsia="zh-CN"/>
              </w:rPr>
              <w:t>三</w:t>
            </w:r>
            <w:r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  <w:t>个存储柜构成</w:t>
            </w:r>
            <w:r>
              <w:rPr>
                <w:rFonts w:hint="eastAsia" w:ascii="宋体" w:hAnsi="宋体" w:eastAsia="宋体" w:cs="宋体"/>
                <w:sz w:val="20"/>
                <w:szCs w:val="20"/>
                <w:highlight w:val="none"/>
                <w:lang w:eastAsia="zh-CN"/>
              </w:rPr>
              <w:t>，</w:t>
            </w:r>
            <w:r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  <w:t>系统采用linux系统，并通过与SG186系统、MDS系统及其他管理系统接口，实现柜内计量资产的智能化仓储管理</w:t>
            </w:r>
            <w:r>
              <w:rPr>
                <w:rFonts w:hint="eastAsia" w:ascii="宋体" w:hAnsi="宋体" w:eastAsia="宋体" w:cs="宋体"/>
                <w:sz w:val="20"/>
                <w:szCs w:val="20"/>
                <w:highlight w:val="none"/>
                <w:lang w:eastAsia="zh-CN"/>
              </w:rPr>
              <w:t>。</w:t>
            </w:r>
          </w:p>
          <w:p w14:paraId="1A9C206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adjustRightInd/>
              <w:snapToGrid w:val="0"/>
              <w:ind w:firstLine="0" w:firstLineChars="0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highlight w:val="none"/>
                <w:lang w:val="en-US" w:eastAsia="zh-CN"/>
              </w:rPr>
              <w:t>2.</w:t>
            </w:r>
            <w:r>
              <w:rPr>
                <w:rFonts w:hint="eastAsia" w:ascii="宋体" w:hAnsi="宋体" w:eastAsia="宋体" w:cs="宋体"/>
                <w:sz w:val="20"/>
                <w:szCs w:val="20"/>
                <w:highlight w:val="none"/>
                <w:lang w:eastAsia="zh-CN"/>
              </w:rPr>
              <w:t>控制柜外部尺寸长*宽*高不大于465*620*1930mm，包括控制机构和控制电路，主要用于实现人机交互、数据处理、设备控制、系统对接等功能；</w:t>
            </w:r>
            <w:r>
              <w:rPr>
                <w:rFonts w:hint="eastAsia" w:ascii="宋体" w:hAnsi="宋体" w:eastAsia="宋体" w:cs="宋体"/>
                <w:sz w:val="20"/>
                <w:szCs w:val="20"/>
                <w:highlight w:val="none"/>
                <w:lang w:eastAsia="zh-CN"/>
              </w:rPr>
              <w:br w:type="textWrapping"/>
            </w:r>
            <w:r>
              <w:rPr>
                <w:rFonts w:hint="eastAsia" w:ascii="宋体" w:hAnsi="宋体" w:eastAsia="宋体" w:cs="宋体"/>
                <w:sz w:val="20"/>
                <w:szCs w:val="20"/>
                <w:highlight w:val="none"/>
                <w:lang w:val="en-US" w:eastAsia="zh-CN"/>
              </w:rPr>
              <w:t>3.</w:t>
            </w:r>
            <w:r>
              <w:rPr>
                <w:rFonts w:hint="eastAsia" w:ascii="宋体" w:hAnsi="宋体" w:eastAsia="宋体" w:cs="宋体"/>
                <w:sz w:val="20"/>
                <w:szCs w:val="20"/>
                <w:highlight w:val="none"/>
                <w:lang w:eastAsia="zh-CN"/>
              </w:rPr>
              <w:t>存储柜外部尺寸长*宽*高不大于465*620*1930mm，包括底座、壳体、托盘、玻璃门、电机锁、扫描器等装置，主要用于计量资产的存储。</w:t>
            </w:r>
          </w:p>
        </w:tc>
        <w:tc>
          <w:tcPr>
            <w:tcW w:w="787" w:type="dxa"/>
            <w:shd w:val="clear" w:color="auto" w:fill="auto"/>
            <w:vAlign w:val="center"/>
          </w:tcPr>
          <w:p w14:paraId="624ACD4A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台</w:t>
            </w:r>
          </w:p>
        </w:tc>
        <w:tc>
          <w:tcPr>
            <w:tcW w:w="763" w:type="dxa"/>
            <w:shd w:val="clear" w:color="auto" w:fill="auto"/>
            <w:vAlign w:val="center"/>
          </w:tcPr>
          <w:p w14:paraId="5DD4D7CC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10</w:t>
            </w:r>
          </w:p>
        </w:tc>
        <w:tc>
          <w:tcPr>
            <w:tcW w:w="1091" w:type="dxa"/>
            <w:shd w:val="clear" w:color="auto" w:fill="auto"/>
            <w:vAlign w:val="center"/>
          </w:tcPr>
          <w:p w14:paraId="7E89BCE9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接供货通知后10日内</w:t>
            </w:r>
          </w:p>
        </w:tc>
        <w:tc>
          <w:tcPr>
            <w:tcW w:w="1109" w:type="dxa"/>
            <w:shd w:val="clear" w:color="auto" w:fill="auto"/>
            <w:vAlign w:val="center"/>
          </w:tcPr>
          <w:p w14:paraId="1119F62C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3年</w:t>
            </w:r>
          </w:p>
        </w:tc>
        <w:tc>
          <w:tcPr>
            <w:tcW w:w="1144" w:type="dxa"/>
            <w:shd w:val="clear" w:color="auto" w:fill="auto"/>
            <w:vAlign w:val="center"/>
          </w:tcPr>
          <w:p w14:paraId="6DEF12BD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买方指定地点</w:t>
            </w:r>
          </w:p>
        </w:tc>
        <w:tc>
          <w:tcPr>
            <w:tcW w:w="1144" w:type="dxa"/>
            <w:vMerge w:val="continue"/>
            <w:shd w:val="clear" w:color="auto" w:fill="auto"/>
            <w:vAlign w:val="center"/>
          </w:tcPr>
          <w:p w14:paraId="56BEFEFD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  <w:tc>
          <w:tcPr>
            <w:tcW w:w="1144" w:type="dxa"/>
            <w:vMerge w:val="continue"/>
            <w:shd w:val="clear" w:color="auto" w:fill="auto"/>
            <w:vAlign w:val="center"/>
          </w:tcPr>
          <w:p w14:paraId="11C0797F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</w:tbl>
    <w:p w14:paraId="774D56FF">
      <w:pPr>
        <w:shd w:val="clear"/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  <w:t>具体供货不局限于上述产品。应包括上述产品相关配件，类似升级产品。</w:t>
      </w:r>
    </w:p>
    <w:p w14:paraId="513E7CC0">
      <w:pPr>
        <w:shd w:val="clear"/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  <w:t>备注：</w:t>
      </w:r>
    </w:p>
    <w:p w14:paraId="143F5161">
      <w:pPr>
        <w:shd w:val="clear"/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  <w:t>1.取得《国家电网有限公司集中规模招标采购供应商资质能力核实证明》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  <w:t>或《国网智能科技股份有限公司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  <w:t>集中规模招标采购供应商资质能力核实证明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  <w:t>》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  <w:t>（以下简称《核实证明》）的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eastAsia="zh-CN"/>
        </w:rPr>
        <w:t>应答人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  <w:t>，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  <w:t>可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  <w:t>按要求使用该《核实证明》。《核实证明》含有的业绩、试验报告不能满足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eastAsia="zh-CN"/>
        </w:rPr>
        <w:t>采购文件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  <w:t>要求的，需要提供满足要求的业绩、试验报告等证明材料；未取得《核实证明》的，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eastAsia="zh-CN"/>
        </w:rPr>
        <w:t>应答人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  <w:t>需要提供对应支持证明材料。</w:t>
      </w:r>
    </w:p>
    <w:p w14:paraId="3D2A167C">
      <w:pPr>
        <w:shd w:val="clear"/>
        <w:rPr>
          <w:rFonts w:hint="eastAsia" w:ascii="宋体" w:hAnsi="宋体" w:eastAsia="宋体" w:cs="宋体"/>
          <w:color w:val="auto"/>
          <w:sz w:val="24"/>
          <w:szCs w:val="24"/>
          <w:highlight w:val="none"/>
          <w:lang w:eastAsia="zh-CN"/>
        </w:rPr>
      </w:pPr>
      <w:r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  <w:t>2.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eastAsia="zh-CN"/>
        </w:rPr>
        <w:t>应答文件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  <w:t>中提供的证明材料复印件应复印清晰、可辨认且不得遮盖、涂抹，否则视为无效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eastAsia="zh-CN"/>
        </w:rPr>
        <w:t>。</w:t>
      </w:r>
    </w:p>
    <w:p w14:paraId="0FF473FE">
      <w:pPr>
        <w:shd w:val="clear"/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  <w:sectPr>
          <w:headerReference r:id="rId5" w:type="default"/>
          <w:footerReference r:id="rId6" w:type="default"/>
          <w:pgSz w:w="16838" w:h="11906" w:orient="landscape"/>
          <w:pgMar w:top="1440" w:right="1797" w:bottom="1440" w:left="1797" w:header="850" w:footer="992" w:gutter="0"/>
          <w:pgNumType w:fmt="decimal"/>
          <w:cols w:space="720" w:num="1"/>
          <w:docGrid w:linePitch="319" w:charSpace="0"/>
        </w:sectPr>
      </w:pPr>
    </w:p>
    <w:p w14:paraId="024F1801">
      <w:pPr>
        <w:shd w:val="clear"/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</w:pPr>
      <w:bookmarkStart w:id="0" w:name="_GoBack"/>
      <w:bookmarkEnd w:id="0"/>
    </w:p>
    <w:sectPr>
      <w:pgSz w:w="11906" w:h="16838"/>
      <w:pgMar w:top="1440" w:right="1797" w:bottom="1440" w:left="1797" w:header="851" w:footer="992" w:gutter="0"/>
      <w:cols w:space="720" w:num="1"/>
      <w:docGrid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 Light">
    <w:panose1 w:val="020F0302020204030204"/>
    <w:charset w:val="00"/>
    <w:family w:val="auto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F0DFFC6">
    <w:pPr>
      <w:pStyle w:val="7"/>
      <w:spacing w:beforeLines="0" w:afterLines="0"/>
      <w:ind w:firstLine="360"/>
      <w:jc w:val="center"/>
      <w:rPr>
        <w:rFonts w:hint="default"/>
        <w:sz w:val="18"/>
        <w:szCs w:val="18"/>
      </w:rPr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1625DD0F">
                          <w:pPr>
                            <w:pStyle w:val="7"/>
                            <w:spacing w:beforeLines="0" w:afterLines="0"/>
                            <w:ind w:firstLine="360"/>
                            <w:jc w:val="center"/>
                          </w:pPr>
                          <w:r>
                            <w:rPr>
                              <w:rFonts w:hint="eastAsia" w:eastAsia="等线"/>
                              <w:sz w:val="18"/>
                              <w:szCs w:val="18"/>
                            </w:rPr>
                            <w:fldChar w:fldCharType="begin"/>
                          </w:r>
                          <w:r>
                            <w:rPr>
                              <w:rFonts w:hint="eastAsia" w:eastAsia="等线"/>
                              <w:sz w:val="18"/>
                              <w:szCs w:val="18"/>
                            </w:rPr>
                            <w:instrText xml:space="preserve"> PAGE   \* MERGEFORMAT </w:instrText>
                          </w:r>
                          <w:r>
                            <w:rPr>
                              <w:rFonts w:hint="eastAsia" w:eastAsia="等线"/>
                              <w:sz w:val="18"/>
                              <w:szCs w:val="18"/>
                            </w:rPr>
                            <w:fldChar w:fldCharType="separate"/>
                          </w:r>
                          <w:r>
                            <w:rPr>
                              <w:rFonts w:hint="eastAsia" w:eastAsia="等线"/>
                              <w:sz w:val="18"/>
                              <w:szCs w:val="18"/>
                            </w:rPr>
                            <w:t>97</w:t>
                          </w:r>
                          <w:r>
                            <w:rPr>
                              <w:rFonts w:hint="eastAsia" w:eastAsia="等线"/>
                              <w:sz w:val="18"/>
                              <w:szCs w:val="1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1625DD0F">
                    <w:pPr>
                      <w:pStyle w:val="7"/>
                      <w:spacing w:beforeLines="0" w:afterLines="0"/>
                      <w:ind w:firstLine="360"/>
                      <w:jc w:val="center"/>
                    </w:pPr>
                    <w:r>
                      <w:rPr>
                        <w:rFonts w:hint="eastAsia" w:eastAsia="等线"/>
                        <w:sz w:val="18"/>
                        <w:szCs w:val="18"/>
                      </w:rPr>
                      <w:fldChar w:fldCharType="begin"/>
                    </w:r>
                    <w:r>
                      <w:rPr>
                        <w:rFonts w:hint="eastAsia" w:eastAsia="等线"/>
                        <w:sz w:val="18"/>
                        <w:szCs w:val="18"/>
                      </w:rPr>
                      <w:instrText xml:space="preserve"> PAGE   \* MERGEFORMAT </w:instrText>
                    </w:r>
                    <w:r>
                      <w:rPr>
                        <w:rFonts w:hint="eastAsia" w:eastAsia="等线"/>
                        <w:sz w:val="18"/>
                        <w:szCs w:val="18"/>
                      </w:rPr>
                      <w:fldChar w:fldCharType="separate"/>
                    </w:r>
                    <w:r>
                      <w:rPr>
                        <w:rFonts w:hint="eastAsia" w:eastAsia="等线"/>
                        <w:sz w:val="18"/>
                        <w:szCs w:val="18"/>
                      </w:rPr>
                      <w:t>97</w:t>
                    </w:r>
                    <w:r>
                      <w:rPr>
                        <w:rFonts w:hint="eastAsia" w:eastAsia="等线"/>
                        <w:sz w:val="18"/>
                        <w:szCs w:val="1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 w14:paraId="59EC8FDD">
    <w:pPr>
      <w:pStyle w:val="6"/>
      <w:spacing w:beforeLines="0" w:afterLines="0" w:line="14" w:lineRule="auto"/>
      <w:ind w:firstLine="240"/>
      <w:rPr>
        <w:rFonts w:hint="default"/>
        <w:sz w:val="12"/>
        <w:szCs w:val="21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0B03769">
    <w:pPr>
      <w:pStyle w:val="8"/>
      <w:pBdr>
        <w:bottom w:val="none" w:color="auto" w:sz="0" w:space="0"/>
      </w:pBdr>
      <w:spacing w:beforeLines="0" w:afterLines="0"/>
      <w:ind w:firstLine="360"/>
      <w:rPr>
        <w:rFonts w:hint="default"/>
        <w:sz w:val="18"/>
        <w:szCs w:val="1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5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kxZjg0N2YzZWU5MjNlMzUxZWI3MTU1ODhiNWEwMjYifQ=="/>
  </w:docVars>
  <w:rsids>
    <w:rsidRoot w:val="00000000"/>
    <w:rsid w:val="121A6680"/>
    <w:rsid w:val="12CC3C1E"/>
    <w:rsid w:val="14C56718"/>
    <w:rsid w:val="19B002DA"/>
    <w:rsid w:val="20C0137D"/>
    <w:rsid w:val="29614FC6"/>
    <w:rsid w:val="29916F47"/>
    <w:rsid w:val="2B3202B6"/>
    <w:rsid w:val="30677CCA"/>
    <w:rsid w:val="39444C4F"/>
    <w:rsid w:val="3CF90C34"/>
    <w:rsid w:val="46ED73AD"/>
    <w:rsid w:val="482A26BE"/>
    <w:rsid w:val="4A05330E"/>
    <w:rsid w:val="4F6507F6"/>
    <w:rsid w:val="4FB24EF4"/>
    <w:rsid w:val="50057096"/>
    <w:rsid w:val="59441031"/>
    <w:rsid w:val="5A0C2BCB"/>
    <w:rsid w:val="60611E6E"/>
    <w:rsid w:val="60664487"/>
    <w:rsid w:val="695A6FDD"/>
    <w:rsid w:val="6F2626EC"/>
    <w:rsid w:val="7E8140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0" w:semiHidden="0" w:name="header"/>
    <w:lsdException w:qFormat="1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nhideWhenUsed="0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spacing w:after="200" w:line="276" w:lineRule="auto"/>
    </w:pPr>
    <w:rPr>
      <w:rFonts w:asciiTheme="majorHAnsi" w:hAnsiTheme="majorHAnsi" w:eastAsiaTheme="majorEastAsia" w:cstheme="majorBidi"/>
      <w:sz w:val="22"/>
      <w:szCs w:val="22"/>
      <w:lang w:val="en-US" w:eastAsia="en-US" w:bidi="en-US"/>
    </w:rPr>
  </w:style>
  <w:style w:type="paragraph" w:styleId="4">
    <w:name w:val="heading 2"/>
    <w:basedOn w:val="1"/>
    <w:next w:val="1"/>
    <w:semiHidden/>
    <w:unhideWhenUsed/>
    <w:qFormat/>
    <w:uiPriority w:val="9"/>
    <w:pPr>
      <w:keepNext/>
      <w:keepLines/>
      <w:spacing w:before="260" w:after="260" w:line="416" w:lineRule="auto"/>
      <w:outlineLvl w:val="1"/>
    </w:pPr>
    <w:rPr>
      <w:rFonts w:asciiTheme="majorHAnsi" w:hAnsiTheme="majorHAnsi" w:eastAsiaTheme="majorEastAsia" w:cstheme="majorBidi"/>
      <w:b/>
      <w:bCs/>
      <w:sz w:val="32"/>
      <w:szCs w:val="32"/>
    </w:rPr>
  </w:style>
  <w:style w:type="character" w:default="1" w:styleId="10">
    <w:name w:val="Default Paragraph Font"/>
    <w:autoRedefine/>
    <w:semiHidden/>
    <w:qFormat/>
    <w:uiPriority w:val="0"/>
  </w:style>
  <w:style w:type="table" w:default="1" w:styleId="9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99"/>
    <w:pPr>
      <w:spacing w:after="120"/>
      <w:ind w:left="420" w:firstLine="420"/>
    </w:pPr>
  </w:style>
  <w:style w:type="paragraph" w:styleId="3">
    <w:name w:val="Body Text Indent"/>
    <w:basedOn w:val="1"/>
    <w:qFormat/>
    <w:uiPriority w:val="99"/>
    <w:pPr>
      <w:ind w:firstLine="480"/>
    </w:pPr>
    <w:rPr>
      <w:kern w:val="0"/>
      <w:sz w:val="20"/>
      <w:szCs w:val="20"/>
    </w:rPr>
  </w:style>
  <w:style w:type="paragraph" w:styleId="5">
    <w:name w:val="Normal Indent"/>
    <w:basedOn w:val="1"/>
    <w:next w:val="1"/>
    <w:autoRedefine/>
    <w:qFormat/>
    <w:uiPriority w:val="0"/>
    <w:pPr>
      <w:ind w:firstLine="420"/>
    </w:pPr>
  </w:style>
  <w:style w:type="paragraph" w:styleId="6">
    <w:name w:val="Body Text"/>
    <w:basedOn w:val="1"/>
    <w:next w:val="1"/>
    <w:autoRedefine/>
    <w:qFormat/>
    <w:uiPriority w:val="0"/>
    <w:pPr>
      <w:spacing w:after="120"/>
    </w:pPr>
    <w:rPr>
      <w:szCs w:val="24"/>
    </w:rPr>
  </w:style>
  <w:style w:type="paragraph" w:styleId="7">
    <w:name w:val="footer"/>
    <w:basedOn w:val="1"/>
    <w:autoRedefine/>
    <w:unhideWhenUsed/>
    <w:qFormat/>
    <w:uiPriority w:val="0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8">
    <w:name w:val="header"/>
    <w:basedOn w:val="1"/>
    <w:autoRedefine/>
    <w:unhideWhenUsed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11">
    <w:name w:val="正文文本2"/>
    <w:basedOn w:val="1"/>
    <w:autoRedefine/>
    <w:qFormat/>
    <w:uiPriority w:val="0"/>
    <w:pPr>
      <w:autoSpaceDE w:val="0"/>
      <w:autoSpaceDN w:val="0"/>
    </w:pPr>
    <w:rPr>
      <w:rFonts w:cs="Times New Roman"/>
      <w:sz w:val="20"/>
      <w:lang w:val="zh-CN"/>
    </w:rPr>
  </w:style>
  <w:style w:type="paragraph" w:customStyle="1" w:styleId="12">
    <w:name w:val="No Spacing"/>
    <w:autoRedefine/>
    <w:qFormat/>
    <w:uiPriority w:val="1"/>
    <w:rPr>
      <w:rFonts w:ascii="宋体" w:hAnsi="宋体" w:eastAsia="宋体" w:cs="宋体"/>
      <w:kern w:val="0"/>
      <w:sz w:val="24"/>
      <w:szCs w:val="24"/>
      <w:lang w:val="en-US" w:eastAsia="zh-CN" w:bidi="ar-SA"/>
    </w:rPr>
  </w:style>
  <w:style w:type="paragraph" w:customStyle="1" w:styleId="13">
    <w:name w:val="Normal_1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lang w:val="en-US" w:eastAsia="zh-CN" w:bidi="ar-SA"/>
    </w:rPr>
  </w:style>
  <w:style w:type="paragraph" w:styleId="14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5092</Words>
  <Characters>5700</Characters>
  <Lines>0</Lines>
  <Paragraphs>0</Paragraphs>
  <TotalTime>2</TotalTime>
  <ScaleCrop>false</ScaleCrop>
  <LinksUpToDate>false</LinksUpToDate>
  <CharactersWithSpaces>5726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2024-08-01T08:57:00Z</dcterms:created>
  <dc:creator>DELL</dc:creator>
  <cp:lastModifiedBy>怎么</cp:lastModifiedBy>
  <dcterms:modified xsi:type="dcterms:W3CDTF">2024-08-28T08:00:56Z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4B7FE3F910D543B28A9EF8D17B6AC132_13</vt:lpwstr>
  </property>
</Properties>
</file>