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hd w:val="clear"/>
        <w:spacing w:after="0"/>
        <w:jc w:val="left"/>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采购公告附件</w:t>
      </w:r>
    </w:p>
    <w:tbl>
      <w:tblPr>
        <w:tblStyle w:val="8"/>
        <w:tblW w:w="4901" w:type="pct"/>
        <w:jc w:val="center"/>
        <w:tblLayout w:type="autofit"/>
        <w:tblCellMar>
          <w:top w:w="0" w:type="dxa"/>
          <w:left w:w="108" w:type="dxa"/>
          <w:bottom w:w="0" w:type="dxa"/>
          <w:right w:w="108" w:type="dxa"/>
        </w:tblCellMar>
      </w:tblPr>
      <w:tblGrid>
        <w:gridCol w:w="1126"/>
        <w:gridCol w:w="1070"/>
        <w:gridCol w:w="3178"/>
        <w:gridCol w:w="842"/>
        <w:gridCol w:w="687"/>
        <w:gridCol w:w="1182"/>
        <w:gridCol w:w="1323"/>
        <w:gridCol w:w="3158"/>
        <w:gridCol w:w="1327"/>
      </w:tblGrid>
      <w:tr>
        <w:tblPrEx>
          <w:tblCellMar>
            <w:top w:w="0" w:type="dxa"/>
            <w:left w:w="108" w:type="dxa"/>
            <w:bottom w:w="0" w:type="dxa"/>
            <w:right w:w="108" w:type="dxa"/>
          </w:tblCellMar>
        </w:tblPrEx>
        <w:trPr>
          <w:trHeight w:val="599" w:hRule="atLeast"/>
          <w:jc w:val="center"/>
        </w:trPr>
        <w:tc>
          <w:tcPr>
            <w:tcW w:w="405"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项目名称</w:t>
            </w:r>
          </w:p>
        </w:tc>
        <w:tc>
          <w:tcPr>
            <w:tcW w:w="385"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服务内容</w:t>
            </w:r>
          </w:p>
        </w:tc>
        <w:tc>
          <w:tcPr>
            <w:tcW w:w="1143"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主要技术要求</w:t>
            </w:r>
          </w:p>
        </w:tc>
        <w:tc>
          <w:tcPr>
            <w:tcW w:w="303"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单位</w:t>
            </w:r>
          </w:p>
        </w:tc>
        <w:tc>
          <w:tcPr>
            <w:tcW w:w="247"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数量</w:t>
            </w:r>
          </w:p>
        </w:tc>
        <w:tc>
          <w:tcPr>
            <w:tcW w:w="425"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服务期</w:t>
            </w:r>
          </w:p>
        </w:tc>
        <w:tc>
          <w:tcPr>
            <w:tcW w:w="476"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专用资质要求</w:t>
            </w:r>
          </w:p>
        </w:tc>
        <w:tc>
          <w:tcPr>
            <w:tcW w:w="1136"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专用业绩要求</w:t>
            </w:r>
          </w:p>
        </w:tc>
        <w:tc>
          <w:tcPr>
            <w:tcW w:w="477"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保证金金额（万元）</w:t>
            </w:r>
          </w:p>
        </w:tc>
      </w:tr>
      <w:tr>
        <w:tblPrEx>
          <w:tblCellMar>
            <w:top w:w="0" w:type="dxa"/>
            <w:left w:w="108" w:type="dxa"/>
            <w:bottom w:w="0" w:type="dxa"/>
            <w:right w:w="108" w:type="dxa"/>
          </w:tblCellMar>
        </w:tblPrEx>
        <w:trPr>
          <w:trHeight w:val="2059" w:hRule="atLeast"/>
          <w:jc w:val="center"/>
        </w:trPr>
        <w:tc>
          <w:tcPr>
            <w:tcW w:w="405"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交互链路</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辅助完</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善、数据</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接入等服</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务项目</w:t>
            </w:r>
          </w:p>
        </w:tc>
        <w:tc>
          <w:tcPr>
            <w:tcW w:w="385"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交互链路</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辅助完</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善、数据</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接入等服</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务</w:t>
            </w:r>
          </w:p>
        </w:tc>
        <w:tc>
          <w:tcPr>
            <w:tcW w:w="1143" w:type="pct"/>
            <w:tcBorders>
              <w:top w:val="single" w:color="auto" w:sz="4" w:space="0"/>
              <w:left w:val="nil"/>
              <w:bottom w:val="single" w:color="auto" w:sz="4" w:space="0"/>
              <w:right w:val="single" w:color="auto" w:sz="4" w:space="0"/>
            </w:tcBorders>
            <w:shd w:val="clear" w:color="auto" w:fill="auto"/>
            <w:vAlign w:val="center"/>
          </w:tcPr>
          <w:p>
            <w:pPr>
              <w:widowControl/>
              <w:shd w:val="clea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乙方需协助甲方完成交互链路辅</w:t>
            </w:r>
          </w:p>
          <w:p>
            <w:pPr>
              <w:widowControl/>
              <w:shd w:val="clea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助完善、数据接入等服务，主要</w:t>
            </w:r>
          </w:p>
          <w:p>
            <w:pPr>
              <w:widowControl/>
              <w:shd w:val="clea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包括边缘物联代理-设备侧物联</w:t>
            </w:r>
          </w:p>
          <w:p>
            <w:pPr>
              <w:widowControl/>
              <w:shd w:val="clea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网平台-人工智能平台交互链路</w:t>
            </w:r>
          </w:p>
          <w:p>
            <w:pPr>
              <w:widowControl/>
              <w:shd w:val="clea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辅助完善、视频类数据接入与共</w:t>
            </w:r>
          </w:p>
          <w:p>
            <w:pPr>
              <w:widowControl/>
              <w:shd w:val="clea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享、算法模型辅助适配与压缩等</w:t>
            </w:r>
          </w:p>
          <w:p>
            <w:pPr>
              <w:widowControl/>
              <w:shd w:val="clea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服务，确保通过甲方验收。</w:t>
            </w:r>
          </w:p>
        </w:tc>
        <w:tc>
          <w:tcPr>
            <w:tcW w:w="303"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宗</w:t>
            </w:r>
          </w:p>
        </w:tc>
        <w:tc>
          <w:tcPr>
            <w:tcW w:w="247"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w:t>
            </w:r>
          </w:p>
        </w:tc>
        <w:tc>
          <w:tcPr>
            <w:tcW w:w="425"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接服务通</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知后2个</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月内</w:t>
            </w:r>
          </w:p>
        </w:tc>
        <w:tc>
          <w:tcPr>
            <w:tcW w:w="476"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color w:val="auto"/>
                <w:kern w:val="0"/>
                <w:sz w:val="21"/>
                <w:szCs w:val="21"/>
                <w:highlight w:val="none"/>
              </w:rPr>
            </w:pPr>
            <w:r>
              <w:rPr>
                <w:rFonts w:hint="eastAsia" w:ascii="宋体" w:hAnsi="宋体" w:eastAsia="宋体" w:cs="宋体"/>
                <w:b/>
                <w:bCs/>
                <w:color w:val="auto"/>
                <w:kern w:val="0"/>
                <w:sz w:val="21"/>
                <w:szCs w:val="21"/>
                <w:highlight w:val="none"/>
              </w:rPr>
              <w:t>备注</w:t>
            </w:r>
            <w:r>
              <w:rPr>
                <w:rFonts w:hint="eastAsia" w:ascii="宋体" w:hAnsi="宋体" w:eastAsia="宋体" w:cs="宋体"/>
                <w:b/>
                <w:bCs/>
                <w:color w:val="auto"/>
                <w:kern w:val="0"/>
                <w:sz w:val="21"/>
                <w:szCs w:val="21"/>
                <w:highlight w:val="none"/>
                <w:lang w:eastAsia="zh-CN"/>
              </w:rPr>
              <w:t>：</w:t>
            </w:r>
            <w:r>
              <w:rPr>
                <w:rFonts w:hint="eastAsia" w:ascii="宋体" w:hAnsi="宋体" w:eastAsia="宋体" w:cs="宋体"/>
                <w:color w:val="auto"/>
                <w:kern w:val="0"/>
                <w:sz w:val="21"/>
                <w:szCs w:val="21"/>
                <w:highlight w:val="none"/>
              </w:rPr>
              <w:t>不接</w:t>
            </w:r>
          </w:p>
          <w:p>
            <w:pPr>
              <w:widowControl/>
              <w:shd w:val="clear"/>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受联合体投</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标</w:t>
            </w:r>
            <w:r>
              <w:rPr>
                <w:rFonts w:hint="eastAsia" w:ascii="宋体" w:hAnsi="宋体" w:eastAsia="宋体" w:cs="宋体"/>
                <w:color w:val="auto"/>
                <w:kern w:val="0"/>
                <w:sz w:val="21"/>
                <w:szCs w:val="21"/>
                <w:highlight w:val="none"/>
                <w:lang w:eastAsia="zh-CN"/>
              </w:rPr>
              <w:t>。</w:t>
            </w:r>
          </w:p>
        </w:tc>
        <w:tc>
          <w:tcPr>
            <w:tcW w:w="1136"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完成过与招标项目相类似的同</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b/>
                <w:bCs/>
                <w:color w:val="auto"/>
                <w:kern w:val="0"/>
                <w:sz w:val="21"/>
                <w:szCs w:val="21"/>
                <w:highlight w:val="none"/>
              </w:rPr>
              <w:t>等或以上技术要求的项目</w:t>
            </w:r>
            <w:r>
              <w:rPr>
                <w:rFonts w:hint="eastAsia" w:ascii="宋体" w:hAnsi="宋体" w:eastAsia="宋体" w:cs="宋体"/>
                <w:b/>
                <w:bCs/>
                <w:color w:val="auto"/>
                <w:kern w:val="0"/>
                <w:sz w:val="21"/>
                <w:szCs w:val="21"/>
                <w:highlight w:val="none"/>
                <w:lang w:eastAsia="zh-CN"/>
              </w:rPr>
              <w:t>：</w:t>
            </w:r>
            <w:r>
              <w:rPr>
                <w:rFonts w:hint="eastAsia" w:ascii="宋体" w:hAnsi="宋体" w:eastAsia="宋体" w:cs="宋体"/>
                <w:color w:val="auto"/>
                <w:kern w:val="0"/>
                <w:sz w:val="21"/>
                <w:szCs w:val="21"/>
                <w:highlight w:val="none"/>
              </w:rPr>
              <w:t>20</w:t>
            </w:r>
            <w:r>
              <w:rPr>
                <w:rFonts w:hint="eastAsia" w:ascii="宋体" w:hAnsi="宋体" w:eastAsia="宋体" w:cs="宋体"/>
                <w:color w:val="auto"/>
                <w:kern w:val="0"/>
                <w:sz w:val="21"/>
                <w:szCs w:val="21"/>
                <w:highlight w:val="none"/>
                <w:lang w:val="en-US" w:eastAsia="zh-CN"/>
              </w:rPr>
              <w:t>21</w:t>
            </w:r>
          </w:p>
          <w:p>
            <w:pPr>
              <w:widowControl/>
              <w:shd w:val="clear"/>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年1月1日至招标采购公告发布</w:t>
            </w:r>
          </w:p>
          <w:p>
            <w:pPr>
              <w:widowControl/>
              <w:shd w:val="clea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rPr>
              <w:t>日止，</w:t>
            </w:r>
            <w:r>
              <w:rPr>
                <w:rFonts w:hint="eastAsia" w:ascii="宋体" w:hAnsi="宋体" w:eastAsia="宋体" w:cs="宋体"/>
                <w:color w:val="auto"/>
                <w:sz w:val="21"/>
                <w:szCs w:val="21"/>
                <w:highlight w:val="none"/>
              </w:rPr>
              <w:t>投标方完成过</w:t>
            </w:r>
            <w:bookmarkStart w:id="0" w:name="OLE_LINK1"/>
            <w:r>
              <w:rPr>
                <w:rFonts w:hint="eastAsia" w:ascii="宋体" w:hAnsi="宋体" w:eastAsia="宋体" w:cs="宋体"/>
                <w:color w:val="auto"/>
                <w:sz w:val="21"/>
                <w:szCs w:val="21"/>
                <w:highlight w:val="none"/>
                <w:lang w:val="en-US" w:eastAsia="zh-CN"/>
              </w:rPr>
              <w:t>数据接入</w:t>
            </w:r>
            <w:bookmarkEnd w:id="0"/>
            <w:r>
              <w:rPr>
                <w:rFonts w:hint="eastAsia" w:ascii="宋体" w:hAnsi="宋体" w:eastAsia="宋体" w:cs="宋体"/>
                <w:color w:val="auto"/>
                <w:sz w:val="21"/>
                <w:szCs w:val="21"/>
                <w:highlight w:val="none"/>
                <w:lang w:val="en-US" w:eastAsia="zh-CN"/>
              </w:rPr>
              <w:t>或</w:t>
            </w:r>
          </w:p>
          <w:p>
            <w:pPr>
              <w:widowControl/>
              <w:shd w:val="clea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算法优化或接口开发项目</w:t>
            </w:r>
            <w:r>
              <w:rPr>
                <w:rFonts w:hint="eastAsia" w:ascii="宋体" w:hAnsi="宋体" w:eastAsia="宋体" w:cs="宋体"/>
                <w:color w:val="auto"/>
                <w:sz w:val="21"/>
                <w:szCs w:val="21"/>
                <w:highlight w:val="none"/>
              </w:rPr>
              <w:t>不少于</w:t>
            </w:r>
          </w:p>
          <w:p>
            <w:pPr>
              <w:widowControl/>
              <w:shd w:val="clea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2份，合同额累计不低于</w:t>
            </w:r>
            <w:r>
              <w:rPr>
                <w:rFonts w:hint="eastAsia" w:ascii="宋体" w:hAnsi="宋体" w:eastAsia="宋体" w:cs="宋体"/>
                <w:color w:val="auto"/>
                <w:sz w:val="21"/>
                <w:szCs w:val="21"/>
                <w:highlight w:val="none"/>
                <w:lang w:val="en-US" w:eastAsia="zh-CN"/>
              </w:rPr>
              <w:t>25</w:t>
            </w:r>
            <w:r>
              <w:rPr>
                <w:rFonts w:hint="eastAsia" w:ascii="宋体" w:hAnsi="宋体" w:eastAsia="宋体" w:cs="宋体"/>
                <w:color w:val="auto"/>
                <w:sz w:val="21"/>
                <w:szCs w:val="21"/>
                <w:highlight w:val="none"/>
              </w:rPr>
              <w:t>万元</w:t>
            </w:r>
          </w:p>
          <w:p>
            <w:pPr>
              <w:widowControl/>
              <w:shd w:val="clea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。注：业绩必须提供对应的合同</w:t>
            </w:r>
          </w:p>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rPr>
              <w:t>复印件</w:t>
            </w:r>
            <w:r>
              <w:rPr>
                <w:rFonts w:hint="eastAsia" w:ascii="宋体" w:hAnsi="宋体" w:eastAsia="宋体" w:cs="宋体"/>
                <w:color w:val="auto"/>
                <w:kern w:val="0"/>
                <w:sz w:val="21"/>
                <w:szCs w:val="21"/>
                <w:highlight w:val="none"/>
              </w:rPr>
              <w:t>。</w:t>
            </w:r>
          </w:p>
        </w:tc>
        <w:tc>
          <w:tcPr>
            <w:tcW w:w="477" w:type="pct"/>
            <w:tcBorders>
              <w:top w:val="single" w:color="auto" w:sz="4" w:space="0"/>
              <w:left w:val="nil"/>
              <w:bottom w:val="single" w:color="auto" w:sz="4" w:space="0"/>
              <w:right w:val="single" w:color="auto" w:sz="4" w:space="0"/>
            </w:tcBorders>
            <w:shd w:val="clear" w:color="auto" w:fill="auto"/>
            <w:vAlign w:val="center"/>
          </w:tcPr>
          <w:p>
            <w:pPr>
              <w:widowControl/>
              <w:shd w:val="clea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0.80</w:t>
            </w:r>
          </w:p>
        </w:tc>
      </w:tr>
    </w:tbl>
    <w:p>
      <w:pPr>
        <w:widowControl/>
        <w:shd w:val="clear"/>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具体服务不局限于上述</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需求一览表。应包括上述服务相关延伸服务及产品，类似升级服务及相关产品。</w:t>
      </w:r>
    </w:p>
    <w:p>
      <w:pPr>
        <w:pStyle w:val="11"/>
        <w:shd w:val="clea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p>
      <w:pPr>
        <w:pStyle w:val="11"/>
        <w:shd w:val="clea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1.取得《国家电网有限公司集中规模招标采购供应商资质能力核实证明》</w:t>
      </w:r>
      <w:r>
        <w:rPr>
          <w:rFonts w:hint="eastAsia" w:ascii="宋体" w:hAnsi="宋体" w:eastAsia="宋体" w:cs="宋体"/>
          <w:color w:val="auto"/>
          <w:sz w:val="24"/>
          <w:szCs w:val="24"/>
          <w:highlight w:val="none"/>
          <w:lang w:eastAsia="zh-CN"/>
        </w:rPr>
        <w:t>或《国网智能科技股份有限公司集中规模招标采购供应商资质能力核实证明》</w:t>
      </w:r>
      <w:r>
        <w:rPr>
          <w:rFonts w:hint="eastAsia" w:ascii="宋体" w:hAnsi="宋体" w:eastAsia="宋体" w:cs="宋体"/>
          <w:color w:val="auto"/>
          <w:sz w:val="24"/>
          <w:szCs w:val="24"/>
          <w:highlight w:val="none"/>
        </w:rPr>
        <w:t>（以下简称《核实证明》）的应答人，应按要求使用该《核实证明》。《核实证明》含有的业绩、试验报告不能满足采购文件要求的，需要提供满足要求的业绩、试验报告等证明材料；未取得《核实证明》的，应答人需要提供对应支持证明材料。</w:t>
      </w:r>
    </w:p>
    <w:p>
      <w:pPr>
        <w:pStyle w:val="11"/>
        <w:shd w:val="clear"/>
        <w:tabs>
          <w:tab w:val="left" w:pos="625"/>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2.应答文件中提供的证明材料复印件</w:t>
      </w:r>
      <w:bookmarkStart w:id="1" w:name="_GoBack"/>
      <w:bookmarkEnd w:id="1"/>
      <w:r>
        <w:rPr>
          <w:rFonts w:hint="eastAsia" w:ascii="宋体" w:hAnsi="宋体" w:eastAsia="宋体" w:cs="宋体"/>
          <w:color w:val="auto"/>
          <w:sz w:val="24"/>
          <w:szCs w:val="24"/>
          <w:highlight w:val="none"/>
        </w:rPr>
        <w:t>应复印清晰、可辨认且不得遮盖、涂抹，否则视为无效。</w:t>
      </w:r>
    </w:p>
    <w:sectPr>
      <w:headerReference r:id="rId3" w:type="default"/>
      <w:footerReference r:id="rId4"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4" w:lineRule="auto"/>
      <w:ind w:firstLine="240"/>
      <w:rPr>
        <w:sz w:val="12"/>
      </w:rPr>
    </w:pPr>
    <w:r>
      <w:rPr>
        <w:sz w:val="1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1"/>
      </w:pBdr>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mZDMzM2YxZWEwODNkZTM2ZjNiZDczOTVhYTdlMDMifQ=="/>
  </w:docVars>
  <w:rsids>
    <w:rsidRoot w:val="00000000"/>
    <w:rsid w:val="054D0ACB"/>
    <w:rsid w:val="0C3C5AE9"/>
    <w:rsid w:val="12AD1419"/>
    <w:rsid w:val="13D33102"/>
    <w:rsid w:val="142770DC"/>
    <w:rsid w:val="167E42A8"/>
    <w:rsid w:val="19157D18"/>
    <w:rsid w:val="1C2A3ADB"/>
    <w:rsid w:val="1E0F396D"/>
    <w:rsid w:val="21D02660"/>
    <w:rsid w:val="22E55C1B"/>
    <w:rsid w:val="25CE2A2B"/>
    <w:rsid w:val="2BC01D66"/>
    <w:rsid w:val="32B111FB"/>
    <w:rsid w:val="3B8F6ADA"/>
    <w:rsid w:val="5696788B"/>
    <w:rsid w:val="5DD21301"/>
    <w:rsid w:val="634265E1"/>
    <w:rsid w:val="718C1A9B"/>
    <w:rsid w:val="7B566C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3">
    <w:name w:val="Normal Indent"/>
    <w:basedOn w:val="1"/>
    <w:next w:val="1"/>
    <w:autoRedefine/>
    <w:qFormat/>
    <w:uiPriority w:val="0"/>
    <w:pPr>
      <w:ind w:firstLine="420"/>
    </w:pPr>
    <w:rPr>
      <w:rFonts w:ascii="Times New Roman" w:hAnsi="Times New Roman"/>
      <w:szCs w:val="24"/>
    </w:rPr>
  </w:style>
  <w:style w:type="paragraph" w:styleId="4">
    <w:name w:val="Body Text"/>
    <w:basedOn w:val="1"/>
    <w:next w:val="1"/>
    <w:autoRedefine/>
    <w:qFormat/>
    <w:uiPriority w:val="0"/>
    <w:pPr>
      <w:spacing w:after="120"/>
    </w:pPr>
    <w:rPr>
      <w:rFonts w:ascii="Times New Roman" w:hAnsi="Times New Roman"/>
      <w:szCs w:val="24"/>
    </w:rPr>
  </w:style>
  <w:style w:type="paragraph" w:styleId="5">
    <w:name w:val="Plain Text"/>
    <w:basedOn w:val="1"/>
    <w:autoRedefine/>
    <w:qFormat/>
    <w:uiPriority w:val="0"/>
    <w:rPr>
      <w:rFonts w:ascii="宋体" w:hAnsi="Courier New" w:cs="Courier New"/>
      <w:szCs w:val="21"/>
    </w:rPr>
  </w:style>
  <w:style w:type="paragraph" w:styleId="6">
    <w:name w:val="footer"/>
    <w:basedOn w:val="1"/>
    <w:autoRedefine/>
    <w:unhideWhenUsed/>
    <w:qFormat/>
    <w:uiPriority w:val="99"/>
    <w:pPr>
      <w:tabs>
        <w:tab w:val="center" w:pos="4153"/>
        <w:tab w:val="right" w:pos="8306"/>
      </w:tabs>
      <w:snapToGrid w:val="0"/>
      <w:jc w:val="left"/>
    </w:pPr>
    <w:rPr>
      <w:sz w:val="18"/>
      <w:szCs w:val="18"/>
    </w:rPr>
  </w:style>
  <w:style w:type="paragraph" w:styleId="7">
    <w:name w:val="header"/>
    <w:basedOn w:val="1"/>
    <w:autoRedefine/>
    <w:unhideWhenUsed/>
    <w:qFormat/>
    <w:uiPriority w:val="0"/>
    <w:pPr>
      <w:pBdr>
        <w:bottom w:val="single" w:color="auto" w:sz="6" w:space="1"/>
      </w:pBdr>
      <w:tabs>
        <w:tab w:val="center" w:pos="4153"/>
        <w:tab w:val="right" w:pos="8306"/>
      </w:tabs>
      <w:snapToGrid w:val="0"/>
      <w:jc w:val="center"/>
    </w:pPr>
    <w:rPr>
      <w:sz w:val="18"/>
      <w:szCs w:val="18"/>
    </w:rPr>
  </w:style>
  <w:style w:type="character" w:styleId="10">
    <w:name w:val="Hyperlink"/>
    <w:autoRedefine/>
    <w:qFormat/>
    <w:uiPriority w:val="99"/>
    <w:rPr>
      <w:color w:val="0000FF"/>
      <w:u w:val="single"/>
    </w:rPr>
  </w:style>
  <w:style w:type="paragraph" w:customStyle="1" w:styleId="11">
    <w:name w:val="Normal_1"/>
    <w:autoRedefine/>
    <w:qFormat/>
    <w:uiPriority w:val="0"/>
    <w:pPr>
      <w:widowControl w:val="0"/>
      <w:jc w:val="both"/>
    </w:pPr>
    <w:rPr>
      <w:rFonts w:ascii="Times New Roman" w:hAnsi="Times New Roman" w:eastAsia="宋体" w:cs="Times New Roman"/>
      <w:lang w:val="en-US" w:eastAsia="zh-CN" w:bidi="ar-SA"/>
    </w:rPr>
  </w:style>
  <w:style w:type="paragraph" w:customStyle="1" w:styleId="12">
    <w:name w:val="No Spacing"/>
    <w:autoRedefine/>
    <w:qFormat/>
    <w:uiPriority w:val="1"/>
    <w:rPr>
      <w:rFonts w:ascii="宋体" w:hAnsi="宋体" w:eastAsia="宋体" w:cs="宋体"/>
      <w:kern w:val="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2024-08-05T10:30:00Z</dcterms:created>
  <dc:creator>DELL</dc:creator>
  <cp:lastModifiedBy>北辰</cp:lastModifiedBy>
  <dcterms:modified xsi:type="dcterms:W3CDTF">2024-09-09T08:22:26Z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404F3736986F41BF95D10C656A2DFF5E_13</vt:lpwstr>
  </property>
</Properties>
</file>