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04A7B7">
      <w:pPr>
        <w:widowControl/>
        <w:jc w:val="lef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 xml:space="preserve">附件1   </w:t>
      </w:r>
      <w:bookmarkStart w:id="0" w:name="_GoBack"/>
      <w:r>
        <w:rPr>
          <w:rFonts w:hint="eastAsia" w:asciiTheme="minorEastAsia" w:hAnsiTheme="minorEastAsia" w:eastAsiaTheme="minorEastAsia" w:cstheme="minorEastAsia"/>
          <w:b/>
          <w:bCs/>
          <w:color w:val="auto"/>
          <w:kern w:val="0"/>
          <w:sz w:val="24"/>
          <w:szCs w:val="24"/>
          <w:highlight w:val="none"/>
        </w:rPr>
        <w:t>招标需求一览表</w:t>
      </w:r>
      <w:bookmarkEnd w:id="0"/>
    </w:p>
    <w:tbl>
      <w:tblPr>
        <w:tblStyle w:val="6"/>
        <w:tblW w:w="11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3"/>
        <w:gridCol w:w="1142"/>
        <w:gridCol w:w="2757"/>
        <w:gridCol w:w="435"/>
        <w:gridCol w:w="725"/>
        <w:gridCol w:w="837"/>
        <w:gridCol w:w="790"/>
        <w:gridCol w:w="1017"/>
        <w:gridCol w:w="1017"/>
        <w:gridCol w:w="1714"/>
      </w:tblGrid>
      <w:tr w14:paraId="5B12B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atLeast"/>
          <w:jc w:val="center"/>
        </w:trPr>
        <w:tc>
          <w:tcPr>
            <w:tcW w:w="1273" w:type="dxa"/>
            <w:vAlign w:val="center"/>
          </w:tcPr>
          <w:p w14:paraId="07A5E498">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项目名称</w:t>
            </w:r>
          </w:p>
        </w:tc>
        <w:tc>
          <w:tcPr>
            <w:tcW w:w="1142" w:type="dxa"/>
            <w:shd w:val="clear" w:color="auto" w:fill="auto"/>
            <w:vAlign w:val="center"/>
          </w:tcPr>
          <w:p w14:paraId="767A7972">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物资名称</w:t>
            </w:r>
          </w:p>
        </w:tc>
        <w:tc>
          <w:tcPr>
            <w:tcW w:w="2757" w:type="dxa"/>
            <w:shd w:val="clear" w:color="auto" w:fill="auto"/>
            <w:vAlign w:val="center"/>
          </w:tcPr>
          <w:p w14:paraId="18F94C5B">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主要技术要求</w:t>
            </w:r>
          </w:p>
        </w:tc>
        <w:tc>
          <w:tcPr>
            <w:tcW w:w="435" w:type="dxa"/>
            <w:shd w:val="clear" w:color="auto" w:fill="auto"/>
            <w:vAlign w:val="center"/>
          </w:tcPr>
          <w:p w14:paraId="233C779F">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单位</w:t>
            </w:r>
          </w:p>
        </w:tc>
        <w:tc>
          <w:tcPr>
            <w:tcW w:w="725" w:type="dxa"/>
            <w:shd w:val="clear" w:color="auto" w:fill="auto"/>
            <w:vAlign w:val="center"/>
          </w:tcPr>
          <w:p w14:paraId="033B50E0">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数量</w:t>
            </w:r>
          </w:p>
        </w:tc>
        <w:tc>
          <w:tcPr>
            <w:tcW w:w="837" w:type="dxa"/>
            <w:shd w:val="clear" w:color="auto" w:fill="auto"/>
            <w:vAlign w:val="center"/>
          </w:tcPr>
          <w:p w14:paraId="57D1DD91">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交货日期</w:t>
            </w:r>
          </w:p>
        </w:tc>
        <w:tc>
          <w:tcPr>
            <w:tcW w:w="790" w:type="dxa"/>
            <w:vAlign w:val="center"/>
          </w:tcPr>
          <w:p w14:paraId="49774FB9">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质保期（不低于）</w:t>
            </w:r>
          </w:p>
        </w:tc>
        <w:tc>
          <w:tcPr>
            <w:tcW w:w="1017" w:type="dxa"/>
            <w:shd w:val="clear" w:color="auto" w:fill="auto"/>
            <w:vAlign w:val="center"/>
          </w:tcPr>
          <w:p w14:paraId="2533B686">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交货地点</w:t>
            </w:r>
          </w:p>
        </w:tc>
        <w:tc>
          <w:tcPr>
            <w:tcW w:w="1017" w:type="dxa"/>
            <w:shd w:val="clear" w:color="auto" w:fill="auto"/>
            <w:vAlign w:val="center"/>
          </w:tcPr>
          <w:p w14:paraId="509AE891">
            <w:pPr>
              <w:widowControl/>
              <w:jc w:val="center"/>
              <w:rPr>
                <w:rFonts w:hint="default"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专用资质要求</w:t>
            </w:r>
          </w:p>
        </w:tc>
        <w:tc>
          <w:tcPr>
            <w:tcW w:w="1714" w:type="dxa"/>
            <w:shd w:val="clear" w:color="auto" w:fill="auto"/>
            <w:vAlign w:val="center"/>
          </w:tcPr>
          <w:p w14:paraId="560DBFC0">
            <w:pPr>
              <w:widowControl/>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lang w:val="en-US" w:eastAsia="zh-CN"/>
              </w:rPr>
              <w:t>专用</w:t>
            </w:r>
            <w:r>
              <w:rPr>
                <w:rFonts w:hint="eastAsia" w:ascii="宋体" w:hAnsi="宋体" w:eastAsia="宋体" w:cs="宋体"/>
                <w:b/>
                <w:bCs/>
                <w:color w:val="auto"/>
                <w:kern w:val="0"/>
                <w:sz w:val="22"/>
                <w:szCs w:val="22"/>
                <w:highlight w:val="none"/>
              </w:rPr>
              <w:t>业绩要求</w:t>
            </w:r>
          </w:p>
        </w:tc>
      </w:tr>
      <w:tr w14:paraId="6BDAF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2" w:hRule="atLeast"/>
          <w:jc w:val="center"/>
        </w:trPr>
        <w:tc>
          <w:tcPr>
            <w:tcW w:w="1273" w:type="dxa"/>
            <w:vMerge w:val="restart"/>
            <w:vAlign w:val="center"/>
          </w:tcPr>
          <w:p w14:paraId="4FA1E8ED">
            <w:pPr>
              <w:widowControl/>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无人机巡视机场等装置采购项目</w:t>
            </w:r>
          </w:p>
        </w:tc>
        <w:tc>
          <w:tcPr>
            <w:tcW w:w="1142" w:type="dxa"/>
            <w:shd w:val="clear" w:color="auto" w:fill="auto"/>
            <w:vAlign w:val="center"/>
          </w:tcPr>
          <w:p w14:paraId="486FA47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无人机巡视机场</w:t>
            </w:r>
          </w:p>
        </w:tc>
        <w:tc>
          <w:tcPr>
            <w:tcW w:w="2757" w:type="dxa"/>
            <w:shd w:val="clear" w:color="auto" w:fill="auto"/>
            <w:vAlign w:val="center"/>
          </w:tcPr>
          <w:p w14:paraId="3F4345AF">
            <w:pPr>
              <w:widowControl/>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2"/>
                <w:szCs w:val="22"/>
                <w:highlight w:val="none"/>
                <w:lang w:bidi="ar"/>
              </w:rPr>
              <w:t>机场外形尺寸舱盖开启：长≤ 1230 毫米，宽≤ 590 毫米，高 ≤415 毫米;重量≤35kg;机场备用电池容量≤12Ah;续航时间大于5小时。</w:t>
            </w:r>
          </w:p>
        </w:tc>
        <w:tc>
          <w:tcPr>
            <w:tcW w:w="435" w:type="dxa"/>
            <w:shd w:val="clear" w:color="000000" w:fill="FFFFFF"/>
            <w:vAlign w:val="center"/>
          </w:tcPr>
          <w:p w14:paraId="570CF71D">
            <w:pPr>
              <w:widowControl/>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套</w:t>
            </w:r>
          </w:p>
        </w:tc>
        <w:tc>
          <w:tcPr>
            <w:tcW w:w="725" w:type="dxa"/>
            <w:shd w:val="clear" w:color="000000" w:fill="FFFFFF"/>
            <w:vAlign w:val="center"/>
          </w:tcPr>
          <w:p w14:paraId="00061CEB">
            <w:pPr>
              <w:widowControl/>
              <w:jc w:val="center"/>
              <w:textAlignment w:val="center"/>
              <w:rPr>
                <w:rFonts w:hint="eastAsia" w:ascii="宋体" w:hAnsi="宋体" w:eastAsia="宋体" w:cs="宋体"/>
                <w:color w:val="auto"/>
                <w:kern w:val="0"/>
                <w:szCs w:val="21"/>
                <w:highlight w:val="none"/>
              </w:rPr>
            </w:pPr>
            <w:r>
              <w:rPr>
                <w:rFonts w:hint="eastAsia" w:ascii="宋体" w:hAnsi="宋体" w:eastAsia="宋体" w:cs="宋体"/>
                <w:color w:val="auto"/>
                <w:kern w:val="0"/>
                <w:sz w:val="24"/>
                <w:szCs w:val="24"/>
                <w:highlight w:val="none"/>
                <w:lang w:bidi="ar"/>
              </w:rPr>
              <w:t>15</w:t>
            </w:r>
          </w:p>
        </w:tc>
        <w:tc>
          <w:tcPr>
            <w:tcW w:w="837" w:type="dxa"/>
            <w:vMerge w:val="restart"/>
            <w:shd w:val="clear" w:color="auto" w:fill="auto"/>
            <w:vAlign w:val="center"/>
          </w:tcPr>
          <w:p w14:paraId="3901CC01">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接到供货通知后</w:t>
            </w:r>
            <w:r>
              <w:rPr>
                <w:rFonts w:hint="eastAsia" w:ascii="宋体" w:hAnsi="宋体" w:eastAsia="宋体" w:cs="宋体"/>
                <w:color w:val="auto"/>
                <w:kern w:val="0"/>
                <w:sz w:val="22"/>
                <w:szCs w:val="22"/>
                <w:highlight w:val="none"/>
                <w:u w:val="single"/>
              </w:rPr>
              <w:t>60</w:t>
            </w:r>
            <w:r>
              <w:rPr>
                <w:rFonts w:hint="eastAsia" w:ascii="宋体" w:hAnsi="宋体" w:eastAsia="宋体" w:cs="宋体"/>
                <w:color w:val="auto"/>
                <w:kern w:val="0"/>
                <w:sz w:val="22"/>
                <w:szCs w:val="22"/>
                <w:highlight w:val="none"/>
              </w:rPr>
              <w:t>日内</w:t>
            </w:r>
          </w:p>
        </w:tc>
        <w:tc>
          <w:tcPr>
            <w:tcW w:w="790" w:type="dxa"/>
            <w:vMerge w:val="restart"/>
            <w:vAlign w:val="center"/>
          </w:tcPr>
          <w:p w14:paraId="5B7F321E">
            <w:pPr>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u w:val="single"/>
              </w:rPr>
              <w:t>36</w:t>
            </w:r>
            <w:r>
              <w:rPr>
                <w:rFonts w:hint="eastAsia" w:ascii="宋体" w:hAnsi="宋体" w:eastAsia="宋体" w:cs="宋体"/>
                <w:color w:val="auto"/>
                <w:kern w:val="0"/>
                <w:sz w:val="22"/>
                <w:szCs w:val="22"/>
                <w:highlight w:val="none"/>
              </w:rPr>
              <w:t>个月</w:t>
            </w:r>
          </w:p>
        </w:tc>
        <w:tc>
          <w:tcPr>
            <w:tcW w:w="1017" w:type="dxa"/>
            <w:vMerge w:val="restart"/>
            <w:shd w:val="clear" w:color="auto" w:fill="auto"/>
            <w:vAlign w:val="center"/>
          </w:tcPr>
          <w:p w14:paraId="073B16C8">
            <w:pPr>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买方指定地点地面交货</w:t>
            </w:r>
          </w:p>
        </w:tc>
        <w:tc>
          <w:tcPr>
            <w:tcW w:w="1017" w:type="dxa"/>
            <w:vMerge w:val="restart"/>
            <w:shd w:val="clear" w:color="auto" w:fill="auto"/>
            <w:vAlign w:val="center"/>
          </w:tcPr>
          <w:p w14:paraId="54DE0F14">
            <w:pPr>
              <w:jc w:val="center"/>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sz w:val="22"/>
                <w:szCs w:val="22"/>
                <w:highlight w:val="none"/>
              </w:rPr>
              <w:t>具备《民用无人驾驶航空器运营合格证》</w:t>
            </w:r>
            <w:r>
              <w:rPr>
                <w:rFonts w:hint="eastAsia" w:ascii="宋体" w:hAnsi="宋体" w:eastAsia="宋体" w:cs="宋体"/>
                <w:color w:val="auto"/>
                <w:sz w:val="22"/>
                <w:szCs w:val="22"/>
                <w:highlight w:val="none"/>
                <w:lang w:eastAsia="zh-CN"/>
              </w:rPr>
              <w:t>。</w:t>
            </w:r>
          </w:p>
        </w:tc>
        <w:tc>
          <w:tcPr>
            <w:tcW w:w="1714" w:type="dxa"/>
            <w:vMerge w:val="restart"/>
            <w:shd w:val="clear" w:color="auto" w:fill="auto"/>
            <w:vAlign w:val="center"/>
          </w:tcPr>
          <w:p w14:paraId="0344120E">
            <w:pPr>
              <w:jc w:val="center"/>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业绩要求</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2021年1月1日至招标采购公告发布日止，完成过自动机场或无人机或相关配件载荷销售业绩不少于2份，合同额累计不少于200万元。注：业绩必须提供对应的合同复印件</w:t>
            </w:r>
            <w:r>
              <w:rPr>
                <w:rFonts w:hint="eastAsia" w:ascii="宋体" w:hAnsi="宋体" w:eastAsia="宋体" w:cs="宋体"/>
                <w:color w:val="auto"/>
                <w:kern w:val="0"/>
                <w:sz w:val="22"/>
                <w:szCs w:val="22"/>
                <w:highlight w:val="none"/>
                <w:lang w:eastAsia="zh-CN"/>
              </w:rPr>
              <w:t>。</w:t>
            </w:r>
          </w:p>
        </w:tc>
      </w:tr>
      <w:tr w14:paraId="20928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2" w:hRule="atLeast"/>
          <w:jc w:val="center"/>
        </w:trPr>
        <w:tc>
          <w:tcPr>
            <w:tcW w:w="1273" w:type="dxa"/>
            <w:vMerge w:val="continue"/>
            <w:vAlign w:val="center"/>
          </w:tcPr>
          <w:p w14:paraId="42E1CC4E">
            <w:pPr>
              <w:widowControl/>
              <w:jc w:val="center"/>
              <w:rPr>
                <w:rFonts w:hint="eastAsia" w:ascii="宋体" w:hAnsi="宋体" w:eastAsia="宋体" w:cs="宋体"/>
                <w:color w:val="auto"/>
                <w:kern w:val="0"/>
                <w:sz w:val="24"/>
                <w:szCs w:val="24"/>
                <w:highlight w:val="none"/>
              </w:rPr>
            </w:pPr>
          </w:p>
        </w:tc>
        <w:tc>
          <w:tcPr>
            <w:tcW w:w="1142" w:type="dxa"/>
            <w:shd w:val="clear" w:color="auto" w:fill="auto"/>
            <w:vAlign w:val="center"/>
          </w:tcPr>
          <w:p w14:paraId="7727146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四旋翼无人机</w:t>
            </w:r>
          </w:p>
        </w:tc>
        <w:tc>
          <w:tcPr>
            <w:tcW w:w="2757" w:type="dxa"/>
            <w:shd w:val="clear" w:color="auto" w:fill="auto"/>
            <w:vAlign w:val="center"/>
          </w:tcPr>
          <w:p w14:paraId="363CE8C3">
            <w:pPr>
              <w:widowControl/>
              <w:jc w:val="left"/>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最大起飞重量≤ 1200 克；轴距≤ 400 mm；最大飞行时间≥45min；最大续航里程≥32km；电池整体重量≥335.5g。</w:t>
            </w:r>
          </w:p>
        </w:tc>
        <w:tc>
          <w:tcPr>
            <w:tcW w:w="435" w:type="dxa"/>
            <w:shd w:val="clear" w:color="000000" w:fill="FFFFFF"/>
            <w:vAlign w:val="center"/>
          </w:tcPr>
          <w:p w14:paraId="2CC301B4">
            <w:pPr>
              <w:widowControl/>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套</w:t>
            </w:r>
          </w:p>
        </w:tc>
        <w:tc>
          <w:tcPr>
            <w:tcW w:w="725" w:type="dxa"/>
            <w:shd w:val="clear" w:color="000000" w:fill="FFFFFF"/>
            <w:vAlign w:val="center"/>
          </w:tcPr>
          <w:p w14:paraId="42B72F1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w:t>
            </w:r>
          </w:p>
        </w:tc>
        <w:tc>
          <w:tcPr>
            <w:tcW w:w="837" w:type="dxa"/>
            <w:vMerge w:val="continue"/>
            <w:shd w:val="clear" w:color="auto" w:fill="auto"/>
            <w:vAlign w:val="center"/>
          </w:tcPr>
          <w:p w14:paraId="128FAA3B">
            <w:pPr>
              <w:widowControl/>
              <w:jc w:val="center"/>
              <w:rPr>
                <w:rFonts w:hint="eastAsia" w:ascii="宋体" w:hAnsi="宋体" w:eastAsia="宋体" w:cs="宋体"/>
                <w:color w:val="auto"/>
                <w:kern w:val="0"/>
                <w:sz w:val="22"/>
                <w:szCs w:val="22"/>
                <w:highlight w:val="none"/>
              </w:rPr>
            </w:pPr>
          </w:p>
        </w:tc>
        <w:tc>
          <w:tcPr>
            <w:tcW w:w="790" w:type="dxa"/>
            <w:vMerge w:val="continue"/>
            <w:vAlign w:val="center"/>
          </w:tcPr>
          <w:p w14:paraId="7C77CD51">
            <w:pPr>
              <w:jc w:val="center"/>
              <w:rPr>
                <w:rFonts w:hint="eastAsia" w:ascii="宋体" w:hAnsi="宋体" w:eastAsia="宋体" w:cs="宋体"/>
                <w:color w:val="auto"/>
                <w:kern w:val="0"/>
                <w:sz w:val="22"/>
                <w:szCs w:val="22"/>
                <w:highlight w:val="none"/>
                <w:u w:val="single"/>
              </w:rPr>
            </w:pPr>
          </w:p>
        </w:tc>
        <w:tc>
          <w:tcPr>
            <w:tcW w:w="1017" w:type="dxa"/>
            <w:vMerge w:val="continue"/>
            <w:shd w:val="clear" w:color="auto" w:fill="auto"/>
            <w:vAlign w:val="center"/>
          </w:tcPr>
          <w:p w14:paraId="49746879">
            <w:pPr>
              <w:jc w:val="center"/>
              <w:rPr>
                <w:rFonts w:hint="eastAsia" w:ascii="宋体" w:hAnsi="宋体" w:eastAsia="宋体" w:cs="宋体"/>
                <w:color w:val="auto"/>
                <w:kern w:val="0"/>
                <w:sz w:val="22"/>
                <w:szCs w:val="22"/>
                <w:highlight w:val="none"/>
              </w:rPr>
            </w:pPr>
          </w:p>
        </w:tc>
        <w:tc>
          <w:tcPr>
            <w:tcW w:w="1017" w:type="dxa"/>
            <w:vMerge w:val="continue"/>
            <w:shd w:val="clear" w:color="auto" w:fill="auto"/>
            <w:vAlign w:val="center"/>
          </w:tcPr>
          <w:p w14:paraId="2FFB6706">
            <w:pPr>
              <w:jc w:val="center"/>
              <w:rPr>
                <w:rFonts w:hint="eastAsia" w:ascii="宋体" w:hAnsi="宋体" w:eastAsia="宋体" w:cs="宋体"/>
                <w:color w:val="auto"/>
                <w:kern w:val="0"/>
                <w:sz w:val="22"/>
                <w:szCs w:val="22"/>
                <w:highlight w:val="none"/>
              </w:rPr>
            </w:pPr>
          </w:p>
        </w:tc>
        <w:tc>
          <w:tcPr>
            <w:tcW w:w="1714" w:type="dxa"/>
            <w:vMerge w:val="continue"/>
            <w:shd w:val="clear" w:color="auto" w:fill="auto"/>
            <w:vAlign w:val="center"/>
          </w:tcPr>
          <w:p w14:paraId="1ABB56C6">
            <w:pPr>
              <w:jc w:val="center"/>
              <w:rPr>
                <w:rFonts w:hint="eastAsia" w:ascii="宋体" w:hAnsi="宋体" w:eastAsia="宋体" w:cs="宋体"/>
                <w:color w:val="auto"/>
                <w:kern w:val="0"/>
                <w:sz w:val="22"/>
                <w:szCs w:val="22"/>
                <w:highlight w:val="none"/>
              </w:rPr>
            </w:pPr>
          </w:p>
        </w:tc>
      </w:tr>
    </w:tbl>
    <w:p w14:paraId="42FF31E6">
      <w:pPr>
        <w:pStyle w:val="2"/>
        <w:rPr>
          <w:rFonts w:hint="eastAsia" w:asciiTheme="minorEastAsia" w:hAnsiTheme="minorEastAsia" w:eastAsiaTheme="minorEastAsia" w:cstheme="minorEastAsia"/>
          <w:b/>
          <w:bCs/>
          <w:color w:val="auto"/>
          <w:kern w:val="0"/>
          <w:sz w:val="24"/>
          <w:szCs w:val="24"/>
          <w:highlight w:val="none"/>
        </w:rPr>
      </w:pPr>
    </w:p>
    <w:p w14:paraId="74DDBFE1">
      <w:pPr>
        <w:rPr>
          <w:rFonts w:hint="eastAsia"/>
          <w:color w:val="auto"/>
          <w:highlight w:val="none"/>
        </w:rPr>
      </w:pPr>
    </w:p>
    <w:p w14:paraId="69205260">
      <w:pPr>
        <w:widowControl/>
        <w:jc w:val="left"/>
        <w:rPr>
          <w:rFonts w:hint="eastAsia" w:asciiTheme="minorEastAsia" w:hAnsiTheme="minorEastAsia" w:eastAsiaTheme="minorEastAsia" w:cstheme="minorEastAsia"/>
          <w:b/>
          <w:bCs/>
          <w:color w:val="auto"/>
          <w:kern w:val="0"/>
          <w:sz w:val="24"/>
          <w:szCs w:val="24"/>
          <w:highlight w:val="none"/>
        </w:rPr>
      </w:pPr>
    </w:p>
    <w:p w14:paraId="0D637304">
      <w:pPr>
        <w:widowControl/>
        <w:jc w:val="left"/>
        <w:rPr>
          <w:rFonts w:hint="eastAsia" w:asciiTheme="minorEastAsia" w:hAnsiTheme="minorEastAsia" w:eastAsiaTheme="minorEastAsia" w:cstheme="minorEastAsia"/>
          <w:b/>
          <w:bCs/>
          <w:color w:val="auto"/>
          <w:kern w:val="0"/>
          <w:sz w:val="24"/>
          <w:szCs w:val="24"/>
          <w:highlight w:val="none"/>
        </w:rPr>
      </w:pPr>
    </w:p>
    <w:p w14:paraId="3919C359">
      <w:pPr>
        <w:pStyle w:val="10"/>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color w:val="auto"/>
          <w:sz w:val="22"/>
          <w:szCs w:val="22"/>
          <w:highlight w:val="none"/>
        </w:rPr>
        <w:t>具体供货不局限于上述产品。应包括上述产品相关配件，类似升级产品</w:t>
      </w:r>
      <w:r>
        <w:rPr>
          <w:rFonts w:hint="eastAsia" w:asciiTheme="minorEastAsia" w:hAnsiTheme="minorEastAsia" w:eastAsiaTheme="minorEastAsia" w:cstheme="minorEastAsia"/>
          <w:color w:val="auto"/>
          <w:sz w:val="24"/>
          <w:szCs w:val="24"/>
          <w:highlight w:val="none"/>
        </w:rPr>
        <w:t>。</w:t>
      </w:r>
    </w:p>
    <w:p w14:paraId="60E6D5CE">
      <w:pPr>
        <w:pStyle w:val="1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p w14:paraId="75C5E02F">
      <w:pPr>
        <w:pStyle w:val="1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1.取得《国家电网有限公司集中规模招标采购供应商资质能力核实证明》</w:t>
      </w:r>
      <w:r>
        <w:rPr>
          <w:rFonts w:hint="eastAsia" w:asciiTheme="minorEastAsia" w:hAnsiTheme="minorEastAsia" w:eastAsiaTheme="minorEastAsia" w:cstheme="minorEastAsia"/>
          <w:color w:val="auto"/>
          <w:sz w:val="24"/>
          <w:szCs w:val="24"/>
          <w:highlight w:val="none"/>
          <w:lang w:eastAsia="zh-CN"/>
        </w:rPr>
        <w:t>或《国网智能科技股份有限公司集中规模招标采购供应商资质能力核实证明》</w:t>
      </w:r>
      <w:r>
        <w:rPr>
          <w:rFonts w:hint="eastAsia" w:asciiTheme="minorEastAsia" w:hAnsiTheme="minorEastAsia" w:eastAsiaTheme="minorEastAsia" w:cstheme="minorEastAsia"/>
          <w:color w:val="auto"/>
          <w:sz w:val="24"/>
          <w:szCs w:val="24"/>
          <w:highlight w:val="none"/>
        </w:rPr>
        <w:t>（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3E252CBB">
      <w:pPr>
        <w:spacing w:line="360" w:lineRule="auto"/>
        <w:rPr>
          <w:rFonts w:hint="eastAsia" w:ascii="仿宋" w:hAnsi="仿宋" w:eastAsia="仿宋" w:cs="仿宋"/>
          <w:color w:val="auto"/>
          <w:highlight w:val="none"/>
        </w:rPr>
      </w:pPr>
      <w:r>
        <w:rPr>
          <w:rFonts w:hint="eastAsia" w:asciiTheme="minorEastAsia" w:hAnsiTheme="minorEastAsia" w:eastAsiaTheme="minorEastAsia" w:cstheme="minorEastAsia"/>
          <w:color w:val="auto"/>
          <w:sz w:val="24"/>
          <w:szCs w:val="24"/>
          <w:highlight w:val="none"/>
        </w:rPr>
        <w:t>2.投标文件中提供的证明材料复印件应复印清晰、可辨认且不得遮盖、涂抹，否则视为无效。</w:t>
      </w:r>
    </w:p>
    <w:p w14:paraId="51CC406F">
      <w:pPr>
        <w:rPr>
          <w:rFonts w:hint="eastAsia" w:asciiTheme="minorEastAsia" w:hAnsiTheme="minorEastAsia" w:eastAsiaTheme="minorEastAsia" w:cstheme="minorEastAsia"/>
          <w:color w:val="auto"/>
          <w:sz w:val="24"/>
          <w:szCs w:val="24"/>
          <w:highlight w:val="none"/>
        </w:rPr>
      </w:pP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45F63">
    <w:pPr>
      <w:pStyle w:val="4"/>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16738C7">
                          <w:pPr>
                            <w:pStyle w:val="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616738C7">
                    <w:pPr>
                      <w:pStyle w:val="4"/>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14:paraId="05E7049A">
                          <w:pPr>
                            <w:pStyle w:val="4"/>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14:paraId="05E7049A">
                    <w:pPr>
                      <w:pStyle w:val="4"/>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1MDY4MmRkN2Q3YjI1MzgwMTQwMjY5ZGI3MzEyNTYifQ=="/>
  </w:docVars>
  <w:rsids>
    <w:rsidRoot w:val="00000000"/>
    <w:rsid w:val="04296AD3"/>
    <w:rsid w:val="04860D8F"/>
    <w:rsid w:val="16267F4A"/>
    <w:rsid w:val="17252504"/>
    <w:rsid w:val="17832749"/>
    <w:rsid w:val="1859351A"/>
    <w:rsid w:val="23434D92"/>
    <w:rsid w:val="28455ABC"/>
    <w:rsid w:val="2D185D98"/>
    <w:rsid w:val="30507DBC"/>
    <w:rsid w:val="3CD57BDC"/>
    <w:rsid w:val="4A962F44"/>
    <w:rsid w:val="4AA15384"/>
    <w:rsid w:val="4D2E620D"/>
    <w:rsid w:val="51340035"/>
    <w:rsid w:val="60246FE2"/>
    <w:rsid w:val="61A629C8"/>
    <w:rsid w:val="631772FC"/>
    <w:rsid w:val="637846F9"/>
    <w:rsid w:val="6CB5251A"/>
    <w:rsid w:val="72571F37"/>
    <w:rsid w:val="7757379B"/>
    <w:rsid w:val="77C16217"/>
    <w:rsid w:val="7B157B4B"/>
    <w:rsid w:val="7D734A5D"/>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3">
    <w:name w:val="Body Text Indent"/>
    <w:basedOn w:val="1"/>
    <w:autoRedefine/>
    <w:qFormat/>
    <w:uiPriority w:val="0"/>
    <w:pPr>
      <w:spacing w:after="120"/>
      <w:ind w:left="420"/>
    </w:pPr>
    <w:rPr>
      <w:sz w:val="22"/>
    </w:rPr>
  </w:style>
  <w:style w:type="paragraph" w:styleId="4">
    <w:name w:val="footer"/>
    <w:basedOn w:val="1"/>
    <w:autoRedefine/>
    <w:unhideWhenUsed/>
    <w:qFormat/>
    <w:uiPriority w:val="99"/>
    <w:pPr>
      <w:tabs>
        <w:tab w:val="center" w:pos="4153"/>
        <w:tab w:val="right" w:pos="8306"/>
      </w:tabs>
      <w:snapToGrid w:val="0"/>
      <w:jc w:val="left"/>
    </w:pPr>
    <w:rPr>
      <w:sz w:val="18"/>
      <w:szCs w:val="18"/>
    </w:rPr>
  </w:style>
  <w:style w:type="paragraph" w:styleId="5">
    <w:name w:val="Body Text First Indent 2"/>
    <w:basedOn w:val="3"/>
    <w:autoRedefine/>
    <w:qFormat/>
    <w:uiPriority w:val="0"/>
    <w:pPr>
      <w:ind w:firstLine="420"/>
    </w:pPr>
  </w:style>
  <w:style w:type="character" w:styleId="8">
    <w:name w:val="Hyperlink"/>
    <w:autoRedefine/>
    <w:qFormat/>
    <w:uiPriority w:val="99"/>
    <w:rPr>
      <w:color w:val="0000FF"/>
      <w:u w:val="single"/>
    </w:rPr>
  </w:style>
  <w:style w:type="paragraph" w:customStyle="1" w:styleId="9">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0">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1">
    <w:name w:val="No Spacing"/>
    <w:autoRedefine/>
    <w:qFormat/>
    <w:uiPriority w:val="1"/>
    <w:rPr>
      <w:rFonts w:ascii="宋体" w:hAnsi="宋体" w:eastAsia="宋体" w:cs="宋体"/>
      <w:kern w:val="0"/>
      <w:sz w:val="24"/>
      <w:szCs w:val="24"/>
      <w:lang w:val="en-US" w:eastAsia="zh-CN" w:bidi="ar-SA"/>
    </w:rPr>
  </w:style>
  <w:style w:type="paragraph" w:customStyle="1" w:styleId="12">
    <w:name w:val="段"/>
    <w:autoRedefine/>
    <w:qFormat/>
    <w:uiPriority w:val="0"/>
    <w:pPr>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4924</Words>
  <Characters>5488</Characters>
  <Lines>0</Lines>
  <Paragraphs>0</Paragraphs>
  <TotalTime>0</TotalTime>
  <ScaleCrop>false</ScaleCrop>
  <LinksUpToDate>false</LinksUpToDate>
  <CharactersWithSpaces>5534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韩梅17660167329</cp:lastModifiedBy>
  <dcterms:modified xsi:type="dcterms:W3CDTF">2024-11-05T11:59:44Z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49F0467AD16F4AB799FFAA4BF6E0138B_13</vt:lpwstr>
  </property>
</Properties>
</file>