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A20D0F">
      <w:pPr>
        <w:widowControl/>
        <w:jc w:val="left"/>
        <w:rPr>
          <w:rFonts w:hint="eastAsia" w:asciiTheme="minorEastAsia" w:hAnsiTheme="minorEastAsia" w:eastAsiaTheme="minorEastAsia" w:cstheme="minorEastAsia"/>
          <w:b/>
          <w:bCs/>
          <w:color w:val="000000" w:themeColor="text1"/>
          <w:kern w:val="0"/>
          <w:sz w:val="24"/>
          <w:szCs w:val="24"/>
          <w:highlight w:val="none"/>
          <w14:textFill>
            <w14:solidFill>
              <w14:schemeClr w14:val="tx1"/>
            </w14:solidFill>
          </w14:textFill>
        </w:rPr>
      </w:pPr>
      <w:r>
        <w:rPr>
          <w:rFonts w:hint="eastAsia" w:asciiTheme="minorEastAsia" w:hAnsiTheme="minorEastAsia" w:eastAsiaTheme="minorEastAsia" w:cstheme="minorEastAsia"/>
          <w:b/>
          <w:bCs/>
          <w:color w:val="000000" w:themeColor="text1"/>
          <w:kern w:val="0"/>
          <w:sz w:val="24"/>
          <w:szCs w:val="24"/>
          <w:highlight w:val="none"/>
          <w14:textFill>
            <w14:solidFill>
              <w14:schemeClr w14:val="tx1"/>
            </w14:solidFill>
          </w14:textFill>
        </w:rPr>
        <w:t xml:space="preserve">  招标需求一览表</w:t>
      </w:r>
    </w:p>
    <w:tbl>
      <w:tblPr>
        <w:tblStyle w:val="7"/>
        <w:tblW w:w="4939" w:type="pct"/>
        <w:tblInd w:w="3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99"/>
        <w:gridCol w:w="1303"/>
        <w:gridCol w:w="5622"/>
        <w:gridCol w:w="776"/>
        <w:gridCol w:w="807"/>
        <w:gridCol w:w="1303"/>
        <w:gridCol w:w="1351"/>
        <w:gridCol w:w="743"/>
        <w:gridCol w:w="1197"/>
      </w:tblGrid>
      <w:tr w14:paraId="04FAA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6" w:hRule="atLeast"/>
        </w:trPr>
        <w:tc>
          <w:tcPr>
            <w:tcW w:w="32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F0A407">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项目名称</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5B24B3">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物资名称</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E82AB3">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主要技术要求</w:t>
            </w:r>
          </w:p>
        </w:tc>
        <w:tc>
          <w:tcPr>
            <w:tcW w:w="27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499911">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单位</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F963A">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数量</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B91060">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交货日期</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A7A168">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质保期（不低于）</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AEF02A">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Style w:val="13"/>
                <w:rFonts w:hint="eastAsia" w:ascii="宋体" w:hAnsi="宋体" w:eastAsia="宋体" w:cs="宋体"/>
                <w:sz w:val="24"/>
                <w:szCs w:val="24"/>
                <w:highlight w:val="none"/>
                <w:lang w:val="en-US" w:eastAsia="zh-CN" w:bidi="ar"/>
              </w:rPr>
              <w:t>交货地点</w:t>
            </w:r>
          </w:p>
        </w:tc>
        <w:tc>
          <w:tcPr>
            <w:tcW w:w="42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FB7B4D">
            <w:pPr>
              <w:keepNext w:val="0"/>
              <w:keepLines w:val="0"/>
              <w:widowControl/>
              <w:suppressLineNumbers w:val="0"/>
              <w:jc w:val="center"/>
              <w:textAlignment w:val="center"/>
              <w:rPr>
                <w:rStyle w:val="13"/>
                <w:rFonts w:hint="default" w:ascii="宋体" w:hAnsi="宋体" w:eastAsia="宋体" w:cs="宋体"/>
                <w:sz w:val="24"/>
                <w:szCs w:val="24"/>
                <w:highlight w:val="none"/>
                <w:lang w:val="en-US" w:eastAsia="zh-CN" w:bidi="ar"/>
              </w:rPr>
            </w:pPr>
            <w:r>
              <w:rPr>
                <w:rStyle w:val="13"/>
                <w:rFonts w:hint="eastAsia" w:ascii="宋体" w:hAnsi="宋体" w:eastAsia="宋体" w:cs="宋体"/>
                <w:sz w:val="24"/>
                <w:szCs w:val="24"/>
                <w:highlight w:val="none"/>
                <w:lang w:val="en-US" w:eastAsia="zh-CN" w:bidi="ar"/>
              </w:rPr>
              <w:t>专用业绩要求</w:t>
            </w:r>
          </w:p>
        </w:tc>
      </w:tr>
      <w:tr w14:paraId="774C2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3" w:hRule="atLeast"/>
        </w:trPr>
        <w:tc>
          <w:tcPr>
            <w:tcW w:w="32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1B938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规约转换模组、外壳等采购项目</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5B3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规约转换模组（Ⅰ型）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D443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485口≥16个；以太网口类型及数量：百兆网口≥2个；集成通信规约类型：104、IEC61850是否包含加密功能：否</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15EE9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0F11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88DD0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w:t>
            </w:r>
            <w:bookmarkStart w:id="0" w:name="_GoBack"/>
            <w:bookmarkEnd w:id="0"/>
            <w:r>
              <w:rPr>
                <w:rStyle w:val="14"/>
                <w:rFonts w:hint="eastAsia" w:ascii="宋体" w:hAnsi="宋体" w:eastAsia="宋体" w:cs="宋体"/>
                <w:sz w:val="24"/>
                <w:szCs w:val="24"/>
                <w:highlight w:val="none"/>
                <w:lang w:val="en-US" w:eastAsia="zh-CN" w:bidi="ar"/>
              </w:rPr>
              <w:t>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F1D2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CC19A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restart"/>
            <w:tcBorders>
              <w:top w:val="single" w:color="000000" w:sz="4" w:space="0"/>
              <w:left w:val="single" w:color="000000" w:sz="4" w:space="0"/>
              <w:right w:val="single" w:color="000000" w:sz="4" w:space="0"/>
            </w:tcBorders>
            <w:shd w:val="clear" w:color="auto" w:fill="auto"/>
            <w:vAlign w:val="center"/>
          </w:tcPr>
          <w:p w14:paraId="75D35187">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业绩要求：2022年1月1日至招标采购公告发布日止，投标方完成过规约转换器或配件销售业绩不少于2份，合同额累计不少于150万。注：业绩必须提供对应的合同复印件。</w:t>
            </w:r>
          </w:p>
        </w:tc>
      </w:tr>
      <w:tr w14:paraId="6203D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039226">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D416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规约转换模组外壳（Ⅰ型）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8592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CA06D0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4816E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3C38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119D4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C2534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1E4C7491">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0E8C1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6"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785E22">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BEAC5">
            <w:pPr>
              <w:keepNext w:val="0"/>
              <w:keepLines w:val="0"/>
              <w:widowControl/>
              <w:suppressLineNumbers w:val="0"/>
              <w:jc w:val="center"/>
              <w:textAlignment w:val="center"/>
              <w:rPr>
                <w:rFonts w:hint="eastAsia" w:ascii="宋体" w:hAnsi="宋体" w:eastAsia="宋体" w:cs="宋体"/>
                <w:i w:val="0"/>
                <w:iCs w:val="0"/>
                <w:color w:val="000000"/>
                <w:kern w:val="2"/>
                <w:sz w:val="24"/>
                <w:szCs w:val="24"/>
                <w:highlight w:val="none"/>
                <w:u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规约转换模组（Ⅱ型）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3BB20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6×RS232/485自适应+2xRS485；以太网口类型及数量：≥8×10/100/1000Mbps自适应RJ45接口；集成通信规约类型：Modbus RTU、CDT、DL/T634.5104是否包含加密功能：是</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7831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AB48A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F9E37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CA78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4C7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72BB69B9">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7A53A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21E3F0">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84E890">
            <w:pPr>
              <w:keepNext w:val="0"/>
              <w:keepLines w:val="0"/>
              <w:widowControl/>
              <w:suppressLineNumbers w:val="0"/>
              <w:jc w:val="center"/>
              <w:textAlignment w:val="center"/>
              <w:rPr>
                <w:rFonts w:hint="eastAsia" w:ascii="宋体" w:hAnsi="宋体" w:eastAsia="宋体" w:cs="宋体"/>
                <w:i w:val="0"/>
                <w:iCs w:val="0"/>
                <w:color w:val="000000"/>
                <w:kern w:val="2"/>
                <w:sz w:val="24"/>
                <w:szCs w:val="24"/>
                <w:highlight w:val="none"/>
                <w:u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规约转换模组外壳（Ⅱ型）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309C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550FF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F51B5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24558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AFEB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E134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58F2A196">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2AA56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9"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04CF9B">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E171F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通信安全网关主板</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C5CA1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2个RS232/RS485串口，2个RJ45以太网接口；集成通信规约CDT、101、103、104等转换为配电主站支持的104规约，用于厂站自动化改造。包含加密功能。材质：PCB板，功耗：＜3W，工作温度：-20℃-55℃，湿度：≤90%。</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D1288F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844E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C654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3268E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AF1F3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592BC4AA">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32B62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DC0F3A">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1E9CD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加密无线终端</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2583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采用工业级高性能处理器和工业无线模块，可提供多种防护的硬件接口、安全稳定的VPN通道。利用4G/3G/2G运营商为用户提供无线长距离大数据传输和处理能力，具备数据加密，规约转换功能，支持电信、移动、联通的通信网络电源具备AC220V/DC110V输入能力，电压容差为-20%～+20%，CPU主频应不低于0.6GHz，内存容量不低于128MB，存储器容量不低于512MB，接入遥信容量4000，接入遥测容量2000，工作温度范围-40℃-70℃无</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72484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45E2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A5E2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17E52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FB031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53E76611">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212BE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9"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C24F27">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58EB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加密无线终端外壳</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F4A69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颜色及LOGO根据甲方要求定制；材质及结构满足甲方要求。</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3E240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1559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8827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7237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06B0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47BF24EE">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39A87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96"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6AE513">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5B1A6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通讯管理模组（Ⅰ型）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CC2DA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RS-485口≥8路；以太网口类型及数量：独立以太网口（10/100Mbps)4路；集成通信规约类型：DNP3.0、CDT92、IEC101、IEC103、 IEC104、MODBUS、61850等。是否包含加密功能：否；安装方式：机架式。</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385E29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072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14</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49CE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FAD12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A83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6EF28EED">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46438F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45F8FF">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0A6C5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通讯管理模组外壳（Ⅰ型）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38041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尺寸：440mm×223mm×43mm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9FDA8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13708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14</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586F2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FEE99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60FDB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08896CED">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3C2DB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43A531">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415CF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规约通信板卡</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D7E0B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不少于2个RS232串口,1个维护串口；以太网口类型及数量：不少于3个RJ45口；集成通信规约类型：集成可配置采集规约CDT、101、MODBUS，转发规约CDT、101、104、DNP。材质：PCB板；工作电源：输入交流220V；功耗：＜3W；工作温度：-20℃-55℃。</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3A0E0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1DF1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0243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CACF3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3CF2A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43040E73">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2E4CB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5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27E185">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5D60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规约转换模组（Ⅲ型）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46C0C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RS-232/485/422；以太网口TCP/IP协议网络接口；集成多种通信规约类型无</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9D69000">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84A5D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D6E12C">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E3A46">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C8D0CB">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6A85FBD0">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23AE4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BDCE39">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9CD38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规约转换模组外壳（Ⅲ型）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2C3AA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6A47C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7A9C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10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08B02">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98EA98">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954D8">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46816E80">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3F1A7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B4AE3D">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03D2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通讯管理模组（Ⅰ型）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025F7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RS-485口≥4路；以太网口类型及数量：独立以太网口（10/100Mbps)≥2路；集成通信规约类型：CDT92、IEC101、IEC103、 IEC104、MODBUS、61850等。是否包含加密功能：否；安装方式：导轨式。</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BD99BC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2FA6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40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6B45CC">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1CEAB2">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BA4FB">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0C37EF15">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4A799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D823A0">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B9A3B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通讯管理模组外壳（Ⅰ型）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0ECD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尺寸：197mm×125mm×40mm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3EE03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1141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40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793ED2">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B3AD7E">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128FA6">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0A5375CC">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488CB7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D5D676">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67AF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通讯管理模组（Ⅱ型）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E4D7E">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4路RS-232/485串口；2个10/100M自适应以太网口，RJ-45连接器；集成通信规约MODBUS、101、103等转104规约。不包含加密功能。</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0D4ACE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8E0395">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38</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CAEAEB">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25CD20">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F4521F">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3D300BE5">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5243A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67E96A">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DF3B9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通讯管理模组外壳（Ⅱ型）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B63AE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E1E9A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2059F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38</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0C1DF">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F32B4">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DE56A">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02D5877C">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1E69D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9D198E">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5AF321">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通讯管理模组（Ⅲ型）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F17EB">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不少于2路RS232；以太网口类型及数量：不少于2路100MbpsRJ45接口；集成通信规约类型：CDT、101、104等规约。包含加密功能</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5D49F6A">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A16F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40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F00994">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68EA71">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F3F69">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42B81D4E">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3C2EE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C7EB89">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BD951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通讯管理模组外壳（Ⅲ型）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0E924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31F1AB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2882B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40</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B79B2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F829CD">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99A9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00107F50">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283C0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4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6B3103">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2BFF47">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无线终端</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90054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不少于2路RS485（232），1路调试串口（RJ45形态）；以太网口类型及数量：不少于3路100MbpsRJ45接口；具备配电规约101、103、104、CDT转换功能，4G/3G/2G通信，支持电信、移动、联通的通信网络是否包含加密功能：是；安装方式：导轨式、机架式，工作电源：AC220V/DC110；</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BDD992F">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7036F3">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36</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A956FC">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7BBCA">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EF1792">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37BB4C14">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0CE9B5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6"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01297C">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C099A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无线终端外壳</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0C4410">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尺寸：190×130×44.5mm；</w:t>
            </w:r>
            <w:r>
              <w:rPr>
                <w:rFonts w:hint="eastAsia" w:ascii="宋体" w:hAnsi="宋体" w:eastAsia="宋体" w:cs="宋体"/>
                <w:i w:val="0"/>
                <w:iCs w:val="0"/>
                <w:color w:val="000000"/>
                <w:kern w:val="0"/>
                <w:sz w:val="24"/>
                <w:szCs w:val="24"/>
                <w:highlight w:val="none"/>
                <w:u w:val="none"/>
                <w:lang w:val="en-US" w:eastAsia="zh-CN" w:bidi="ar"/>
              </w:rPr>
              <w:br w:type="textWrapping"/>
            </w: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颜色及LOGO根据甲方要求定制；材质及结构满足甲方要求。</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43513B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85A1C">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36</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0828B2">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65AF2">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E7B0DA">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281F824B">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1913E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73"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32DC8B">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F8E3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规约转换模组（Ⅳ型）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08AB68">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用于自动化网络通信场合，进行通讯规约的转换。通过RS232/422/485等串行接口以及以太网接口与继电保护、故障录波器、电度表、直流屏等装置进行数据通讯，经程序处理后通过网络或串口按照用户指定的通信规约标准送往监控后台或其他应用系统。串口类型及数量：≥4个；以太网口类型及数量：≥2路；集成通信规约类型：IEC101、IEC103、IEC104、MODBUS含加密功能</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2BC7B9">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8F48F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28</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DF89F4">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5E5E6B">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C82324">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right w:val="single" w:color="000000" w:sz="4" w:space="0"/>
            </w:tcBorders>
            <w:shd w:val="clear" w:color="auto" w:fill="auto"/>
            <w:vAlign w:val="center"/>
          </w:tcPr>
          <w:p w14:paraId="43CCB3D5">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r w14:paraId="65A1B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32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C16CA5">
            <w:pPr>
              <w:jc w:val="center"/>
              <w:rPr>
                <w:rFonts w:hint="eastAsia" w:ascii="宋体" w:hAnsi="宋体" w:eastAsia="宋体" w:cs="宋体"/>
                <w:i w:val="0"/>
                <w:iCs w:val="0"/>
                <w:color w:val="000000"/>
                <w:sz w:val="24"/>
                <w:szCs w:val="24"/>
                <w:highlight w:val="none"/>
                <w:u w:val="none"/>
              </w:rPr>
            </w:pP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6DF30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规约转换模组外壳（Ⅳ型）</w:t>
            </w:r>
          </w:p>
        </w:tc>
        <w:tc>
          <w:tcPr>
            <w:tcW w:w="200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479AA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颜色及LOGO根据甲方要求定制；材质及结构满足QGDW 12181.2-2021《智能物联电能表扩展模组技术规范 第4部分：光伏模组》要求等。</w:t>
            </w:r>
          </w:p>
        </w:tc>
        <w:tc>
          <w:tcPr>
            <w:tcW w:w="277"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89C1A74">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sz w:val="24"/>
                <w:szCs w:val="24"/>
                <w:highlight w:val="none"/>
                <w:u w:val="none"/>
                <w:lang w:val="en-US" w:eastAsia="zh-CN"/>
              </w:rPr>
              <w:t>个</w:t>
            </w:r>
          </w:p>
        </w:tc>
        <w:tc>
          <w:tcPr>
            <w:tcW w:w="28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5CBF4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eastAsia="宋体" w:cs="宋体"/>
                <w:i w:val="0"/>
                <w:iCs w:val="0"/>
                <w:color w:val="000000"/>
                <w:kern w:val="0"/>
                <w:sz w:val="24"/>
                <w:szCs w:val="24"/>
                <w:highlight w:val="none"/>
                <w:u w:val="none"/>
                <w:lang w:val="en-US" w:eastAsia="zh-CN" w:bidi="ar"/>
              </w:rPr>
              <w:t>28</w:t>
            </w:r>
          </w:p>
        </w:tc>
        <w:tc>
          <w:tcPr>
            <w:tcW w:w="4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DC9D66">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接供货通知后10日内</w:t>
            </w:r>
          </w:p>
        </w:tc>
        <w:tc>
          <w:tcPr>
            <w:tcW w:w="48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739953">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24个月</w:t>
            </w:r>
          </w:p>
        </w:tc>
        <w:tc>
          <w:tcPr>
            <w:tcW w:w="26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E129F">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r>
              <w:rPr>
                <w:rStyle w:val="14"/>
                <w:rFonts w:hint="eastAsia" w:ascii="宋体" w:hAnsi="宋体" w:eastAsia="宋体" w:cs="宋体"/>
                <w:sz w:val="24"/>
                <w:szCs w:val="24"/>
                <w:highlight w:val="none"/>
                <w:lang w:val="en-US" w:eastAsia="zh-CN" w:bidi="ar"/>
              </w:rPr>
              <w:t>买方指定地点</w:t>
            </w:r>
          </w:p>
        </w:tc>
        <w:tc>
          <w:tcPr>
            <w:tcW w:w="427" w:type="pct"/>
            <w:vMerge w:val="continue"/>
            <w:tcBorders>
              <w:left w:val="single" w:color="000000" w:sz="4" w:space="0"/>
              <w:bottom w:val="single" w:color="000000" w:sz="4" w:space="0"/>
              <w:right w:val="single" w:color="000000" w:sz="4" w:space="0"/>
            </w:tcBorders>
            <w:shd w:val="clear" w:color="auto" w:fill="auto"/>
            <w:vAlign w:val="center"/>
          </w:tcPr>
          <w:p w14:paraId="13286E29">
            <w:pPr>
              <w:keepNext w:val="0"/>
              <w:keepLines w:val="0"/>
              <w:widowControl/>
              <w:suppressLineNumbers w:val="0"/>
              <w:jc w:val="center"/>
              <w:textAlignment w:val="center"/>
              <w:rPr>
                <w:rStyle w:val="14"/>
                <w:rFonts w:hint="eastAsia" w:ascii="宋体" w:hAnsi="宋体" w:eastAsia="宋体" w:cs="宋体"/>
                <w:sz w:val="24"/>
                <w:szCs w:val="24"/>
                <w:highlight w:val="none"/>
                <w:lang w:val="en-US" w:eastAsia="zh-CN" w:bidi="ar"/>
              </w:rPr>
            </w:pPr>
          </w:p>
        </w:tc>
      </w:tr>
    </w:tbl>
    <w:p w14:paraId="003C77EE">
      <w:pPr>
        <w:pStyle w:val="15"/>
        <w:numPr>
          <w:ilvl w:val="0"/>
          <w:numId w:val="0"/>
        </w:numPr>
        <w:spacing w:line="240" w:lineRule="auto"/>
        <w:outlineLvl w:val="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具体供货不局限于上述产品。应包括上述产品相关配件，类似升级产品。</w:t>
      </w:r>
    </w:p>
    <w:p w14:paraId="2E9A1899">
      <w:pPr>
        <w:pStyle w:val="11"/>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备注：</w:t>
      </w:r>
    </w:p>
    <w:p w14:paraId="269AF92F">
      <w:pPr>
        <w:pStyle w:val="11"/>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1.取得《国家电网有限公司集中规模招标采购供应商资质能力核实证明》</w:t>
      </w:r>
      <w:r>
        <w:rPr>
          <w:rFonts w:hint="eastAsia" w:asciiTheme="minorEastAsia" w:hAnsiTheme="minorEastAsia" w:eastAsiaTheme="minorEastAsia" w:cstheme="minorEastAsia"/>
          <w:sz w:val="24"/>
          <w:szCs w:val="24"/>
          <w:highlight w:val="none"/>
          <w:lang w:eastAsia="zh-CN"/>
        </w:rPr>
        <w:t>或《国网智能科技股份有限公司集中规模招标采购供应商资质能力核实证明》</w:t>
      </w:r>
      <w:r>
        <w:rPr>
          <w:rFonts w:hint="eastAsia" w:asciiTheme="minorEastAsia" w:hAnsiTheme="minorEastAsia" w:eastAsiaTheme="minorEastAsia" w:cstheme="minorEastAsia"/>
          <w:sz w:val="24"/>
          <w:szCs w:val="24"/>
          <w:highlight w:val="none"/>
        </w:rPr>
        <w:t>（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1AB3650A">
      <w:pP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2.投标文件中提供的证明材料复印件应复印清晰、可辨认且不得遮盖、涂抹，否则视为无效。</w:t>
      </w: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417F4">
    <w:pPr>
      <w:pStyle w:val="5"/>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9C183C4">
                          <w:pPr>
                            <w:pStyle w:val="5"/>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09C183C4">
                    <w:pPr>
                      <w:pStyle w:val="5"/>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14:paraId="67349749">
                          <w:pPr>
                            <w:pStyle w:val="5"/>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14:paraId="67349749">
                    <w:pPr>
                      <w:pStyle w:val="5"/>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ZDMzM2YxZWEwODNkZTM2ZjNiZDczOTVhYTdlMDMifQ=="/>
  </w:docVars>
  <w:rsids>
    <w:rsidRoot w:val="00000000"/>
    <w:rsid w:val="04707138"/>
    <w:rsid w:val="04860D8F"/>
    <w:rsid w:val="071F3773"/>
    <w:rsid w:val="07563215"/>
    <w:rsid w:val="0C9566ED"/>
    <w:rsid w:val="10C017AC"/>
    <w:rsid w:val="11EF4173"/>
    <w:rsid w:val="16267F4A"/>
    <w:rsid w:val="17252504"/>
    <w:rsid w:val="17832749"/>
    <w:rsid w:val="188E6C44"/>
    <w:rsid w:val="18E776A7"/>
    <w:rsid w:val="22BC120E"/>
    <w:rsid w:val="22F71DBE"/>
    <w:rsid w:val="26BD5819"/>
    <w:rsid w:val="28455ABC"/>
    <w:rsid w:val="2EBF6414"/>
    <w:rsid w:val="42CE694E"/>
    <w:rsid w:val="46A11835"/>
    <w:rsid w:val="4AA15384"/>
    <w:rsid w:val="4ABD7A75"/>
    <w:rsid w:val="4D2E620D"/>
    <w:rsid w:val="4F403134"/>
    <w:rsid w:val="511E0452"/>
    <w:rsid w:val="51340035"/>
    <w:rsid w:val="516A3318"/>
    <w:rsid w:val="575B57AD"/>
    <w:rsid w:val="637846F9"/>
    <w:rsid w:val="68432A75"/>
    <w:rsid w:val="699B2708"/>
    <w:rsid w:val="72A11576"/>
    <w:rsid w:val="762519CD"/>
    <w:rsid w:val="77C16217"/>
    <w:rsid w:val="7C30728F"/>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0"/>
    <w:pPr>
      <w:widowControl w:val="0"/>
      <w:spacing w:beforeLines="0" w:afterLines="0" w:line="240" w:lineRule="atLeast"/>
      <w:ind w:firstLine="420"/>
      <w:jc w:val="both"/>
    </w:pPr>
    <w:rPr>
      <w:rFonts w:hint="default" w:ascii="Times New Roman" w:hAnsi="Times New Roman" w:eastAsia="仿宋_GB2312" w:cs="Times New Roman"/>
      <w:spacing w:val="0"/>
      <w:kern w:val="2"/>
      <w:sz w:val="21"/>
      <w:lang w:val="en-US" w:eastAsia="zh-CN"/>
    </w:rPr>
  </w:style>
  <w:style w:type="paragraph" w:styleId="4">
    <w:name w:val="Body Text Indent"/>
    <w:basedOn w:val="1"/>
    <w:autoRedefine/>
    <w:qFormat/>
    <w:uiPriority w:val="0"/>
    <w:pPr>
      <w:spacing w:after="120"/>
      <w:ind w:left="420"/>
    </w:pPr>
    <w:rPr>
      <w:sz w:val="22"/>
    </w:rPr>
  </w:style>
  <w:style w:type="paragraph" w:styleId="5">
    <w:name w:val="footer"/>
    <w:basedOn w:val="1"/>
    <w:autoRedefine/>
    <w:unhideWhenUsed/>
    <w:qFormat/>
    <w:uiPriority w:val="99"/>
    <w:pPr>
      <w:tabs>
        <w:tab w:val="center" w:pos="4153"/>
        <w:tab w:val="right" w:pos="8306"/>
      </w:tabs>
      <w:snapToGrid w:val="0"/>
      <w:jc w:val="left"/>
    </w:pPr>
    <w:rPr>
      <w:sz w:val="18"/>
      <w:szCs w:val="18"/>
    </w:rPr>
  </w:style>
  <w:style w:type="paragraph" w:styleId="6">
    <w:name w:val="Body Text First Indent 2"/>
    <w:basedOn w:val="4"/>
    <w:autoRedefine/>
    <w:qFormat/>
    <w:uiPriority w:val="0"/>
    <w:pPr>
      <w:ind w:firstLine="420"/>
    </w:pPr>
  </w:style>
  <w:style w:type="character" w:styleId="9">
    <w:name w:val="Hyperlink"/>
    <w:autoRedefine/>
    <w:qFormat/>
    <w:uiPriority w:val="99"/>
    <w:rPr>
      <w:color w:val="0000FF"/>
      <w:u w:val="single"/>
    </w:rPr>
  </w:style>
  <w:style w:type="paragraph" w:customStyle="1" w:styleId="10">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1">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2">
    <w:name w:val="No Spacing"/>
    <w:autoRedefine/>
    <w:qFormat/>
    <w:uiPriority w:val="1"/>
    <w:rPr>
      <w:rFonts w:ascii="宋体" w:hAnsi="宋体" w:eastAsia="宋体" w:cs="宋体"/>
      <w:kern w:val="0"/>
      <w:sz w:val="24"/>
      <w:szCs w:val="24"/>
      <w:lang w:val="en-US" w:eastAsia="zh-CN" w:bidi="ar-SA"/>
    </w:rPr>
  </w:style>
  <w:style w:type="character" w:customStyle="1" w:styleId="13">
    <w:name w:val="font11"/>
    <w:basedOn w:val="8"/>
    <w:autoRedefine/>
    <w:qFormat/>
    <w:uiPriority w:val="0"/>
    <w:rPr>
      <w:rFonts w:hint="eastAsia" w:ascii="仿宋" w:hAnsi="仿宋" w:eastAsia="仿宋" w:cs="仿宋"/>
      <w:b/>
      <w:bCs/>
      <w:color w:val="000000"/>
      <w:sz w:val="22"/>
      <w:szCs w:val="22"/>
      <w:u w:val="none"/>
    </w:rPr>
  </w:style>
  <w:style w:type="character" w:customStyle="1" w:styleId="14">
    <w:name w:val="font21"/>
    <w:basedOn w:val="8"/>
    <w:autoRedefine/>
    <w:qFormat/>
    <w:uiPriority w:val="0"/>
    <w:rPr>
      <w:rFonts w:hint="eastAsia" w:ascii="宋体" w:hAnsi="宋体" w:eastAsia="宋体" w:cs="宋体"/>
      <w:color w:val="000000"/>
      <w:sz w:val="20"/>
      <w:szCs w:val="20"/>
      <w:u w:val="none"/>
    </w:rPr>
  </w:style>
  <w:style w:type="paragraph" w:styleId="15">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7856</Words>
  <Characters>9129</Characters>
  <Lines>0</Lines>
  <Paragraphs>0</Paragraphs>
  <TotalTime>1</TotalTime>
  <ScaleCrop>false</ScaleCrop>
  <LinksUpToDate>false</LinksUpToDate>
  <CharactersWithSpaces>9171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晴晴</cp:lastModifiedBy>
  <dcterms:modified xsi:type="dcterms:W3CDTF">2025-01-16T08:26:33Z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43610F2B56C6463E8674EB67DD979840_13</vt:lpwstr>
  </property>
  <property fmtid="{D5CDD505-2E9C-101B-9397-08002B2CF9AE}" pid="4" name="KSOTemplateDocerSaveRecord">
    <vt:lpwstr>eyJoZGlkIjoiZDVjNTE0MzIzMTQwNjNjMjhkYTc4ZjlhMTk4Yjc1MjgiLCJ1c2VySWQiOiI0NDE5NTE0MzgifQ==</vt:lpwstr>
  </property>
</Properties>
</file>