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bookmarkEnd w:id="0"/>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7"/>
        <w:tblW w:w="0" w:type="auto"/>
        <w:tblInd w:w="-5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1"/>
        <w:gridCol w:w="1017"/>
        <w:gridCol w:w="6298"/>
        <w:gridCol w:w="489"/>
        <w:gridCol w:w="489"/>
        <w:gridCol w:w="730"/>
        <w:gridCol w:w="892"/>
        <w:gridCol w:w="618"/>
        <w:gridCol w:w="3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物资名称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主要技术要求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交货日期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质保期（不低于）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交货地点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3"/>
                <w:rFonts w:hint="default" w:ascii="宋体" w:hAnsi="宋体" w:eastAsia="宋体" w:cs="宋体"/>
                <w:sz w:val="24"/>
                <w:szCs w:val="24"/>
                <w:highlight w:val="none"/>
                <w:lang w:val="en-US" w:eastAsia="zh-CN" w:bidi="ar"/>
              </w:rPr>
            </w:pPr>
            <w:r>
              <w:rPr>
                <w:rStyle w:val="13"/>
                <w:rFonts w:hint="eastAsia" w:ascii="宋体" w:hAnsi="宋体" w:eastAsia="宋体" w:cs="宋体"/>
                <w:sz w:val="24"/>
                <w:szCs w:val="24"/>
                <w:highlight w:val="none"/>
                <w:lang w:val="en-US" w:eastAsia="zh-CN" w:bidi="ar"/>
              </w:rPr>
              <w:t>专用业绩要求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规约转换模组、外壳等采购项目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规约转换模组（Ⅰ型）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485口≥16个；以太网口类型及数量：百兆网口≥2个；集成通信规约类型：104、IEC61850是否包含加密功能：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rPr>
              <w:t>业绩要求</w:t>
            </w:r>
            <w:r>
              <w:rPr>
                <w:rFonts w:hint="eastAsia" w:ascii="宋体" w:hAnsi="宋体" w:eastAsia="宋体" w:cs="宋体"/>
                <w:i w:val="0"/>
                <w:iCs w:val="0"/>
                <w:color w:val="000000"/>
                <w:sz w:val="24"/>
                <w:szCs w:val="24"/>
                <w:highlight w:val="none"/>
                <w:u w:val="none"/>
                <w:lang w:eastAsia="zh-CN"/>
              </w:rPr>
              <w:t>：</w:t>
            </w:r>
            <w:r>
              <w:rPr>
                <w:rFonts w:hint="eastAsia" w:ascii="宋体" w:hAnsi="宋体" w:eastAsia="宋体" w:cs="宋体"/>
                <w:i w:val="0"/>
                <w:iCs w:val="0"/>
                <w:color w:val="000000"/>
                <w:sz w:val="24"/>
                <w:szCs w:val="24"/>
                <w:highlight w:val="none"/>
                <w:u w:val="none"/>
                <w:lang w:val="en-US" w:eastAsia="zh-CN"/>
              </w:rPr>
              <w:t>2022年1月1日至招标采购公告发布日止，投标方完成过规约转换器或配件销售业绩不少于2份，合同额累计不少于150万。注：业绩必须提供对应的合同复印件。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规约转换模组外壳（Ⅰ型）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规约转换模组（Ⅱ型）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6×RS232/485自适应+2xRS485；以太网口类型及数量：≥8×10/100/1000Mbps自适应RJ45接口；集成通信规约类型：Modbus RTU、CDT、DL/T634.5104是否包含加密功能：是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规约转换模组外壳（Ⅱ型）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通信安全网关主板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2个RS232/RS485串口，2个RJ45以太网接口；集成通信规约CDT、101、103、104等转换为配电主站支持的104规约，用于厂站自动化改造。包含加密功能。材质：PCB板，功耗：＜3W，工作温度：-20℃-55℃，湿度：≤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加密无线终端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工业级高性能处理器和工业无线模块，可提供多种防护的硬件接口、安全稳定的VPN通道。利用4G/3G/2G运营商为用户提供无线长距离大数据传输和处理能力，具备数据加密，规约转换功能，支持电信、移动、联通的通信网络电源具备AC220V/DC110V输入能力，电压容差为-20%～+20%，CPU主频应不低于0.6GHz，内存容量不低于128MB，存储器容量不低于512MB，接入遥信容量4000，接入遥测容量2000，工作温度范围-40℃-70℃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加密无线终端外壳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颜色及LOGO根据甲方要求定制；材质及结构满足甲方要求。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通讯管理模组（Ⅰ型）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RS-485口≥8路；以太网口类型及数量：独立以太网口（10/100Mbps)4路；集成通信规约类型：DNP3.0、CDT92、IEC101、IEC103、 IEC104、MODBUS、61850等。是否包含加密功能：否；安装方式：机架式。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通讯管理模组外壳（Ⅰ型）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尺寸：440mm×223mm×43mm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规约通信板卡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不少于2个RS232串口,1个维护串口；以太网口类型及数量：不少于3个RJ45口；集成通信规约类型：集成可配置采集规约CDT、101、MODBUS，转发规约CDT、101、104、DNP。材质：PCB板；工作电源：输入交流220V；功耗：＜3W；工作温度：-20℃-55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规约转换模组（Ⅲ型）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RS-232/485/422；以太网口TCP/IP协议网络接口；集成多种通信规约类型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规约转换模组外壳（Ⅲ型）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通讯管理模组（Ⅰ型）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RS-485口≥4路；以太网口类型及数量：独立以太网口（10/100Mbps)≥2路；集成通信规约类型：CDT92、IEC101、IEC103、 IEC104、MODBUS、61850等。是否包含加密功能：否；安装方式：导轨式。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通讯管理模组外壳（Ⅰ型）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尺寸：197mm×125mm×40mm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通讯管理模组（Ⅱ型）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4路RS-232/485串口；2个10/100M自适应以太网口，RJ-45连接器；集成通信规约MODBUS、101、103等转104规约。不包含加密功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通讯管理模组外壳（Ⅱ型）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通讯管理模组（Ⅲ型）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不少于2路RS232；以太网口类型及数量：不少于2路100MbpsRJ45接口；集成通信规约类型：CDT、101、104等规约。包含加密功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通讯管理模组外壳（Ⅲ型）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无线终端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不少于2路RS485（232），1路调试串口（RJ45形态）；以太网口类型及数量：不少于3路100MbpsRJ45接口；具备配电规约101、103、104、CDT转换功能，4G/3G/2G通信，支持电信、移动、联通的通信网络是否包含加密功能：是；安装方式：导轨式、机架式，工作电源：AC220V/DC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无线终端外壳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尺寸：190×130×44.5mm；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颜色及LOGO根据甲方要求定制；材质及结构满足甲方要求。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规约转换模组（Ⅳ型）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自动化网络通信场合，进行通讯规约的转换。通过RS232/422/485等串行接口以及以太网接口与继电保护、故障录波器、电度表、直流屏等装置进行数据通讯，经程序处理后通过网络或串口按照用户指定的通信规约标准送往监控后台或其他应用系统。串口类型及数量：≥4个；以太网口类型及数量：≥2路；集成通信规约类型：IEC101、IEC103、IEC104、MODBUS含加密功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规约转换模组外壳（Ⅳ型）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颜色及LOGO根据甲方要求定制；材质及结构满足QGDW 12181.2-2021《智能物联电能表扩展模组技术规范 第4部分：光伏模组》要求等。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接供货通知后10日内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Style w:val="14"/>
                <w:rFonts w:hint="eastAsia" w:ascii="宋体" w:hAnsi="宋体" w:eastAsia="宋体" w:cs="宋体"/>
                <w:sz w:val="24"/>
                <w:szCs w:val="24"/>
                <w:highlight w:val="none"/>
                <w:lang w:val="en-US" w:eastAsia="zh-CN" w:bidi="ar"/>
              </w:rPr>
              <w:t>买方指定地点</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bl>
    <w:p>
      <w:pPr>
        <w:pStyle w:val="11"/>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2103AC7"/>
    <w:rsid w:val="04707138"/>
    <w:rsid w:val="04860D8F"/>
    <w:rsid w:val="07563215"/>
    <w:rsid w:val="0A8B5858"/>
    <w:rsid w:val="0C9566ED"/>
    <w:rsid w:val="10C017AC"/>
    <w:rsid w:val="11EF4173"/>
    <w:rsid w:val="16267F4A"/>
    <w:rsid w:val="17252504"/>
    <w:rsid w:val="17832749"/>
    <w:rsid w:val="188E6C44"/>
    <w:rsid w:val="18E776A7"/>
    <w:rsid w:val="22BC120E"/>
    <w:rsid w:val="22F71DBE"/>
    <w:rsid w:val="26BD5819"/>
    <w:rsid w:val="28455ABC"/>
    <w:rsid w:val="2EBF6414"/>
    <w:rsid w:val="35C021BB"/>
    <w:rsid w:val="42CE694E"/>
    <w:rsid w:val="4AA15384"/>
    <w:rsid w:val="4ABD7A75"/>
    <w:rsid w:val="4B7A0CBC"/>
    <w:rsid w:val="4D2E620D"/>
    <w:rsid w:val="4F403134"/>
    <w:rsid w:val="511E0452"/>
    <w:rsid w:val="51340035"/>
    <w:rsid w:val="516A3318"/>
    <w:rsid w:val="51B040FA"/>
    <w:rsid w:val="5DF726C7"/>
    <w:rsid w:val="637846F9"/>
    <w:rsid w:val="657C2979"/>
    <w:rsid w:val="683007B9"/>
    <w:rsid w:val="699B2708"/>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widowControl w:val="0"/>
      <w:spacing w:beforeLines="0" w:afterLines="0" w:line="240" w:lineRule="atLeast"/>
      <w:ind w:firstLine="420"/>
      <w:jc w:val="both"/>
    </w:pPr>
    <w:rPr>
      <w:rFonts w:hint="default" w:ascii="Times New Roman" w:hAnsi="Times New Roman" w:eastAsia="仿宋_GB2312" w:cs="Times New Roman"/>
      <w:spacing w:val="0"/>
      <w:kern w:val="2"/>
      <w:sz w:val="21"/>
      <w:lang w:val="en-US" w:eastAsia="zh-CN"/>
    </w:r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character" w:customStyle="1" w:styleId="13">
    <w:name w:val="font11"/>
    <w:basedOn w:val="8"/>
    <w:autoRedefine/>
    <w:qFormat/>
    <w:uiPriority w:val="0"/>
    <w:rPr>
      <w:rFonts w:hint="eastAsia" w:ascii="仿宋" w:hAnsi="仿宋" w:eastAsia="仿宋" w:cs="仿宋"/>
      <w:b/>
      <w:bCs/>
      <w:color w:val="000000"/>
      <w:sz w:val="22"/>
      <w:szCs w:val="22"/>
      <w:u w:val="none"/>
    </w:rPr>
  </w:style>
  <w:style w:type="character" w:customStyle="1" w:styleId="14">
    <w:name w:val="font2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4660</Words>
  <Characters>5127</Characters>
  <Lines>0</Lines>
  <Paragraphs>0</Paragraphs>
  <TotalTime>0</TotalTime>
  <ScaleCrop>false</ScaleCrop>
  <LinksUpToDate>false</LinksUpToDate>
  <CharactersWithSpaces>5162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北辰</cp:lastModifiedBy>
  <dcterms:modified xsi:type="dcterms:W3CDTF">2025-02-25T07:47:49Z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49F0467AD16F4AB799FFAA4BF6E0138B_13</vt:lpwstr>
  </property>
</Properties>
</file>