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134B41">
      <w:pPr>
        <w:pStyle w:val="5"/>
        <w:spacing w:after="0"/>
        <w:jc w:val="left"/>
        <w:outlineLvl w:val="1"/>
        <w:rPr>
          <w:rFonts w:hint="eastAsia" w:ascii="宋体" w:hAnsi="宋体" w:eastAsia="宋体" w:cs="宋体"/>
          <w:b/>
          <w:bCs/>
          <w:color w:val="auto"/>
          <w:sz w:val="24"/>
          <w:szCs w:val="24"/>
          <w:highlight w:val="none"/>
        </w:rPr>
      </w:pPr>
      <w:bookmarkStart w:id="0" w:name="_GoBack"/>
      <w:bookmarkEnd w:id="0"/>
      <w:r>
        <w:rPr>
          <w:rFonts w:hint="eastAsia" w:ascii="宋体" w:hAnsi="宋体" w:cs="宋体"/>
          <w:b/>
          <w:bCs/>
          <w:color w:val="auto"/>
          <w:sz w:val="24"/>
          <w:szCs w:val="24"/>
          <w:highlight w:val="none"/>
          <w:lang w:eastAsia="zh-CN"/>
        </w:rPr>
        <w:t>招标公告</w:t>
      </w:r>
      <w:r>
        <w:rPr>
          <w:rFonts w:hint="eastAsia" w:ascii="宋体" w:hAnsi="宋体" w:eastAsia="宋体" w:cs="宋体"/>
          <w:b/>
          <w:bCs/>
          <w:color w:val="auto"/>
          <w:sz w:val="24"/>
          <w:szCs w:val="24"/>
          <w:highlight w:val="none"/>
        </w:rPr>
        <w:t>附件</w:t>
      </w:r>
    </w:p>
    <w:tbl>
      <w:tblPr>
        <w:tblStyle w:val="9"/>
        <w:tblW w:w="14100" w:type="dxa"/>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1383"/>
        <w:gridCol w:w="4264"/>
        <w:gridCol w:w="730"/>
        <w:gridCol w:w="740"/>
        <w:gridCol w:w="710"/>
        <w:gridCol w:w="840"/>
        <w:gridCol w:w="2350"/>
        <w:gridCol w:w="2150"/>
      </w:tblGrid>
      <w:tr w14:paraId="0CD71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933" w:type="dxa"/>
            <w:vAlign w:val="center"/>
          </w:tcPr>
          <w:p w14:paraId="20C5129C">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项目名称及包号</w:t>
            </w:r>
          </w:p>
        </w:tc>
        <w:tc>
          <w:tcPr>
            <w:tcW w:w="1383" w:type="dxa"/>
            <w:vAlign w:val="center"/>
          </w:tcPr>
          <w:p w14:paraId="4C61B05A">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服务内容</w:t>
            </w:r>
          </w:p>
        </w:tc>
        <w:tc>
          <w:tcPr>
            <w:tcW w:w="4264" w:type="dxa"/>
            <w:vAlign w:val="center"/>
          </w:tcPr>
          <w:p w14:paraId="00F23F5B">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主要技术要求</w:t>
            </w:r>
          </w:p>
        </w:tc>
        <w:tc>
          <w:tcPr>
            <w:tcW w:w="730" w:type="dxa"/>
            <w:vAlign w:val="center"/>
          </w:tcPr>
          <w:p w14:paraId="52326A89">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数量</w:t>
            </w:r>
          </w:p>
        </w:tc>
        <w:tc>
          <w:tcPr>
            <w:tcW w:w="740" w:type="dxa"/>
            <w:vAlign w:val="center"/>
          </w:tcPr>
          <w:p w14:paraId="29D526F0">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单位</w:t>
            </w:r>
          </w:p>
        </w:tc>
        <w:tc>
          <w:tcPr>
            <w:tcW w:w="710" w:type="dxa"/>
            <w:vAlign w:val="center"/>
          </w:tcPr>
          <w:p w14:paraId="66B6EC55">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服务期</w:t>
            </w:r>
          </w:p>
        </w:tc>
        <w:tc>
          <w:tcPr>
            <w:tcW w:w="840" w:type="dxa"/>
            <w:vAlign w:val="center"/>
          </w:tcPr>
          <w:p w14:paraId="144DB159">
            <w:pPr>
              <w:widowControl/>
              <w:jc w:val="center"/>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rPr>
              <w:t>质保期</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lang w:val="en-US" w:eastAsia="zh-CN"/>
              </w:rPr>
              <w:t>不低于</w:t>
            </w:r>
            <w:r>
              <w:rPr>
                <w:rFonts w:hint="eastAsia" w:ascii="宋体" w:hAnsi="宋体" w:eastAsia="宋体" w:cs="宋体"/>
                <w:b/>
                <w:bCs/>
                <w:color w:val="auto"/>
                <w:kern w:val="0"/>
                <w:sz w:val="24"/>
                <w:szCs w:val="24"/>
                <w:highlight w:val="none"/>
                <w:lang w:eastAsia="zh-CN"/>
              </w:rPr>
              <w:t>）</w:t>
            </w:r>
          </w:p>
        </w:tc>
        <w:tc>
          <w:tcPr>
            <w:tcW w:w="2350" w:type="dxa"/>
            <w:vAlign w:val="center"/>
          </w:tcPr>
          <w:p w14:paraId="42FA36BA">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sz w:val="24"/>
                <w:szCs w:val="24"/>
                <w:highlight w:val="none"/>
              </w:rPr>
              <w:t>专用资质要求</w:t>
            </w:r>
          </w:p>
        </w:tc>
        <w:tc>
          <w:tcPr>
            <w:tcW w:w="2150" w:type="dxa"/>
            <w:vAlign w:val="center"/>
          </w:tcPr>
          <w:p w14:paraId="7C904014">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sz w:val="24"/>
                <w:szCs w:val="24"/>
                <w:highlight w:val="none"/>
              </w:rPr>
              <w:t>专用</w:t>
            </w:r>
            <w:r>
              <w:rPr>
                <w:rFonts w:hint="eastAsia" w:ascii="宋体" w:hAnsi="宋体" w:cs="宋体"/>
                <w:b/>
                <w:bCs/>
                <w:color w:val="auto"/>
                <w:sz w:val="24"/>
                <w:szCs w:val="24"/>
                <w:highlight w:val="none"/>
                <w:lang w:val="en-US" w:eastAsia="zh-CN"/>
              </w:rPr>
              <w:t>业绩</w:t>
            </w:r>
            <w:r>
              <w:rPr>
                <w:rFonts w:hint="eastAsia" w:ascii="宋体" w:hAnsi="宋体" w:eastAsia="宋体" w:cs="宋体"/>
                <w:b/>
                <w:bCs/>
                <w:color w:val="auto"/>
                <w:sz w:val="24"/>
                <w:szCs w:val="24"/>
                <w:highlight w:val="none"/>
              </w:rPr>
              <w:t>要求</w:t>
            </w:r>
          </w:p>
        </w:tc>
      </w:tr>
      <w:tr w14:paraId="650CA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3" w:type="dxa"/>
            <w:vMerge w:val="restart"/>
            <w:vAlign w:val="center"/>
          </w:tcPr>
          <w:p w14:paraId="4928935F">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bidi="ar"/>
              </w:rPr>
              <w:t>变电站保护压板监测装置安装调试项目</w:t>
            </w:r>
          </w:p>
        </w:tc>
        <w:tc>
          <w:tcPr>
            <w:tcW w:w="1383" w:type="dxa"/>
            <w:vAlign w:val="center"/>
          </w:tcPr>
          <w:p w14:paraId="0874C1D0">
            <w:pPr>
              <w:widowControl/>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220kV变电站压板在线监测系统勘察</w:t>
            </w:r>
          </w:p>
        </w:tc>
        <w:tc>
          <w:tcPr>
            <w:tcW w:w="4264" w:type="dxa"/>
            <w:vAlign w:val="center"/>
          </w:tcPr>
          <w:p w14:paraId="416D9BB1">
            <w:pPr>
              <w:widowControl/>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根据甲方及相关标准要求，完成220kV变电站压板在线监测系统现场勘察，主要包括项目现场设备及环境等资料搜集、记录、拍照等，并输出</w:t>
            </w:r>
            <w:r>
              <w:rPr>
                <w:rFonts w:hint="eastAsia" w:ascii="宋体" w:hAnsi="宋体" w:eastAsia="宋体" w:cs="宋体"/>
                <w:color w:val="auto"/>
                <w:kern w:val="0"/>
                <w:sz w:val="24"/>
                <w:szCs w:val="24"/>
                <w:highlight w:val="none"/>
                <w:lang w:eastAsia="zh-CN"/>
              </w:rPr>
              <w:t>勘察记录</w:t>
            </w:r>
            <w:r>
              <w:rPr>
                <w:rFonts w:hint="eastAsia" w:ascii="宋体" w:hAnsi="宋体" w:eastAsia="宋体" w:cs="宋体"/>
                <w:color w:val="auto"/>
                <w:kern w:val="0"/>
                <w:sz w:val="24"/>
                <w:szCs w:val="24"/>
                <w:highlight w:val="none"/>
                <w:lang w:val="en-US" w:eastAsia="zh-CN"/>
              </w:rPr>
              <w:t>，通过甲方及业主方验收。</w:t>
            </w:r>
          </w:p>
        </w:tc>
        <w:tc>
          <w:tcPr>
            <w:tcW w:w="730" w:type="dxa"/>
            <w:vAlign w:val="center"/>
          </w:tcPr>
          <w:p w14:paraId="7251A40F">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9</w:t>
            </w:r>
          </w:p>
        </w:tc>
        <w:tc>
          <w:tcPr>
            <w:tcW w:w="740" w:type="dxa"/>
            <w:vAlign w:val="center"/>
          </w:tcPr>
          <w:p w14:paraId="4D2B5058">
            <w:pPr>
              <w:widowControl/>
              <w:adjustRightInd w:val="0"/>
              <w:snapToGrid w:val="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站</w:t>
            </w:r>
          </w:p>
        </w:tc>
        <w:tc>
          <w:tcPr>
            <w:tcW w:w="710" w:type="dxa"/>
            <w:vAlign w:val="center"/>
          </w:tcPr>
          <w:p w14:paraId="3061C6AD">
            <w:pPr>
              <w:widowControl/>
              <w:adjustRightInd w:val="0"/>
              <w:snapToGrid w:val="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1年</w:t>
            </w:r>
          </w:p>
        </w:tc>
        <w:tc>
          <w:tcPr>
            <w:tcW w:w="840" w:type="dxa"/>
            <w:vAlign w:val="center"/>
          </w:tcPr>
          <w:p w14:paraId="646D69C9">
            <w:pPr>
              <w:widowControl/>
              <w:adjustRightInd w:val="0"/>
              <w:snapToGrid w:val="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1年</w:t>
            </w:r>
          </w:p>
        </w:tc>
        <w:tc>
          <w:tcPr>
            <w:tcW w:w="2350" w:type="dxa"/>
            <w:vMerge w:val="restart"/>
            <w:vAlign w:val="center"/>
          </w:tcPr>
          <w:p w14:paraId="24A4EB86">
            <w:pPr>
              <w:widowControl/>
              <w:adjustRightInd w:val="0"/>
              <w:snapToGrid w:val="0"/>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有效的安全生产许可证</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具备有效的安全生产许可证</w:t>
            </w:r>
            <w:r>
              <w:rPr>
                <w:rFonts w:hint="eastAsia" w:ascii="宋体" w:hAnsi="宋体" w:eastAsia="宋体" w:cs="宋体"/>
                <w:color w:val="auto"/>
                <w:kern w:val="0"/>
                <w:sz w:val="24"/>
                <w:szCs w:val="24"/>
                <w:highlight w:val="none"/>
                <w:lang w:eastAsia="zh-CN"/>
              </w:rPr>
              <w:t>。</w:t>
            </w:r>
          </w:p>
          <w:p w14:paraId="51512D9E">
            <w:pPr>
              <w:widowControl/>
              <w:adjustRightInd w:val="0"/>
              <w:snapToGrid w:val="0"/>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有效的资质等级证书</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具备建筑机电安装工程专业承包三级及以上或电子与智能化工程专业承包二级及以上或输变电工程专业承包三级及以上或电力工程施工总承包三级及以上或承装电力设施五级及以上许可证</w:t>
            </w:r>
            <w:r>
              <w:rPr>
                <w:rFonts w:hint="eastAsia" w:ascii="宋体" w:hAnsi="宋体" w:eastAsia="宋体" w:cs="宋体"/>
                <w:color w:val="auto"/>
                <w:kern w:val="0"/>
                <w:sz w:val="24"/>
                <w:szCs w:val="24"/>
                <w:highlight w:val="none"/>
                <w:lang w:eastAsia="zh-CN"/>
              </w:rPr>
              <w:t>。</w:t>
            </w:r>
          </w:p>
          <w:p w14:paraId="1787891F">
            <w:pPr>
              <w:widowControl/>
              <w:adjustRightInd w:val="0"/>
              <w:snapToGrid w:val="0"/>
              <w:jc w:val="center"/>
              <w:rPr>
                <w:rFonts w:hint="eastAsia"/>
                <w:color w:val="auto"/>
                <w:highlight w:val="none"/>
                <w:lang w:val="en-US" w:eastAsia="zh-CN"/>
              </w:rPr>
            </w:pP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备注</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不接受联合体投标</w:t>
            </w:r>
          </w:p>
        </w:tc>
        <w:tc>
          <w:tcPr>
            <w:tcW w:w="2150" w:type="dxa"/>
            <w:vMerge w:val="restart"/>
            <w:vAlign w:val="center"/>
          </w:tcPr>
          <w:p w14:paraId="5C09A93F">
            <w:pPr>
              <w:widowControl/>
              <w:adjustRightInd w:val="0"/>
              <w:snapToGrid w:val="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完成过与招标项目相类似的同等或以上技术要求的项目</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202</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年1月1日至招标采购公告发布日止，投标方完成过变电站智巡系统</w:t>
            </w:r>
            <w:r>
              <w:rPr>
                <w:rFonts w:hint="eastAsia" w:ascii="宋体" w:hAnsi="宋体" w:eastAsia="宋体" w:cs="宋体"/>
                <w:color w:val="auto"/>
                <w:kern w:val="0"/>
                <w:sz w:val="24"/>
                <w:szCs w:val="24"/>
                <w:highlight w:val="none"/>
                <w:lang w:val="en-US" w:eastAsia="zh-CN"/>
              </w:rPr>
              <w:t>或辅控系统或</w:t>
            </w:r>
            <w:r>
              <w:rPr>
                <w:rFonts w:hint="eastAsia" w:ascii="宋体" w:hAnsi="宋体" w:eastAsia="宋体" w:cs="宋体"/>
                <w:color w:val="auto"/>
                <w:kern w:val="0"/>
                <w:sz w:val="24"/>
                <w:szCs w:val="24"/>
                <w:highlight w:val="none"/>
              </w:rPr>
              <w:t>保护装置</w:t>
            </w:r>
            <w:r>
              <w:rPr>
                <w:rFonts w:hint="eastAsia" w:ascii="宋体" w:hAnsi="宋体" w:eastAsia="宋体" w:cs="宋体"/>
                <w:color w:val="auto"/>
                <w:kern w:val="0"/>
                <w:sz w:val="24"/>
                <w:szCs w:val="24"/>
                <w:highlight w:val="none"/>
                <w:lang w:val="en-US" w:eastAsia="zh-CN"/>
              </w:rPr>
              <w:t>的</w:t>
            </w:r>
            <w:r>
              <w:rPr>
                <w:rFonts w:hint="eastAsia" w:ascii="宋体" w:hAnsi="宋体" w:eastAsia="宋体" w:cs="宋体"/>
                <w:color w:val="auto"/>
                <w:kern w:val="0"/>
                <w:sz w:val="24"/>
                <w:szCs w:val="24"/>
                <w:highlight w:val="none"/>
              </w:rPr>
              <w:t>安装、调试业绩不少于2份，合同额累计不少于</w:t>
            </w:r>
            <w:r>
              <w:rPr>
                <w:rFonts w:hint="eastAsia" w:ascii="宋体" w:hAnsi="宋体" w:eastAsia="宋体" w:cs="宋体"/>
                <w:color w:val="auto"/>
                <w:kern w:val="0"/>
                <w:sz w:val="24"/>
                <w:szCs w:val="24"/>
                <w:highlight w:val="none"/>
                <w:lang w:val="en-US" w:eastAsia="zh-CN"/>
              </w:rPr>
              <w:t>200</w:t>
            </w:r>
            <w:r>
              <w:rPr>
                <w:rFonts w:hint="eastAsia" w:ascii="宋体" w:hAnsi="宋体" w:cs="宋体"/>
                <w:color w:val="auto"/>
                <w:kern w:val="0"/>
                <w:sz w:val="24"/>
                <w:szCs w:val="24"/>
                <w:highlight w:val="none"/>
                <w:lang w:val="en-US" w:eastAsia="zh-CN"/>
              </w:rPr>
              <w:t>万</w:t>
            </w:r>
            <w:r>
              <w:rPr>
                <w:rFonts w:hint="eastAsia" w:ascii="宋体" w:hAnsi="宋体" w:eastAsia="宋体" w:cs="宋体"/>
                <w:color w:val="auto"/>
                <w:kern w:val="0"/>
                <w:sz w:val="24"/>
                <w:szCs w:val="24"/>
                <w:highlight w:val="none"/>
                <w:lang w:val="en-US" w:eastAsia="zh-CN"/>
              </w:rPr>
              <w:t>元。注：业绩必须提供对应的合同复印件。</w:t>
            </w:r>
          </w:p>
        </w:tc>
      </w:tr>
      <w:tr w14:paraId="67C40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3" w:type="dxa"/>
            <w:vMerge w:val="continue"/>
            <w:vAlign w:val="center"/>
          </w:tcPr>
          <w:p w14:paraId="1016C9A2">
            <w:pPr>
              <w:widowControl/>
              <w:jc w:val="center"/>
              <w:rPr>
                <w:rFonts w:hint="eastAsia" w:ascii="宋体" w:hAnsi="宋体" w:eastAsia="宋体" w:cs="宋体"/>
                <w:color w:val="auto"/>
                <w:kern w:val="0"/>
                <w:sz w:val="24"/>
                <w:szCs w:val="24"/>
                <w:highlight w:val="none"/>
              </w:rPr>
            </w:pPr>
          </w:p>
        </w:tc>
        <w:tc>
          <w:tcPr>
            <w:tcW w:w="1383" w:type="dxa"/>
            <w:vAlign w:val="center"/>
          </w:tcPr>
          <w:p w14:paraId="4D5D4131">
            <w:pPr>
              <w:widowControl/>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110kV变电站压板在线监测系统勘察</w:t>
            </w:r>
          </w:p>
        </w:tc>
        <w:tc>
          <w:tcPr>
            <w:tcW w:w="4264" w:type="dxa"/>
            <w:vAlign w:val="center"/>
          </w:tcPr>
          <w:p w14:paraId="09240453">
            <w:pPr>
              <w:widowControl/>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根据甲方及相关标准要求，完成110kV变电站压板在线监测系统现场勘察，主要包括项目现场设备及环境等资料搜集、记录、拍照等，并输出</w:t>
            </w:r>
            <w:r>
              <w:rPr>
                <w:rFonts w:hint="eastAsia" w:ascii="宋体" w:hAnsi="宋体" w:eastAsia="宋体" w:cs="宋体"/>
                <w:color w:val="auto"/>
                <w:kern w:val="0"/>
                <w:sz w:val="24"/>
                <w:szCs w:val="24"/>
                <w:highlight w:val="none"/>
                <w:lang w:eastAsia="zh-CN"/>
              </w:rPr>
              <w:t>勘察记录</w:t>
            </w:r>
            <w:r>
              <w:rPr>
                <w:rFonts w:hint="eastAsia" w:ascii="宋体" w:hAnsi="宋体" w:eastAsia="宋体" w:cs="宋体"/>
                <w:color w:val="auto"/>
                <w:kern w:val="0"/>
                <w:sz w:val="24"/>
                <w:szCs w:val="24"/>
                <w:highlight w:val="none"/>
                <w:lang w:val="en-US" w:eastAsia="zh-CN"/>
              </w:rPr>
              <w:t>，通过甲方及业主方验收。</w:t>
            </w:r>
          </w:p>
        </w:tc>
        <w:tc>
          <w:tcPr>
            <w:tcW w:w="730" w:type="dxa"/>
            <w:vAlign w:val="center"/>
          </w:tcPr>
          <w:p w14:paraId="3D59A986">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174</w:t>
            </w:r>
          </w:p>
        </w:tc>
        <w:tc>
          <w:tcPr>
            <w:tcW w:w="740" w:type="dxa"/>
            <w:vAlign w:val="center"/>
          </w:tcPr>
          <w:p w14:paraId="4395A646">
            <w:pPr>
              <w:widowControl/>
              <w:adjustRightInd w:val="0"/>
              <w:snapToGrid w:val="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站</w:t>
            </w:r>
          </w:p>
        </w:tc>
        <w:tc>
          <w:tcPr>
            <w:tcW w:w="710" w:type="dxa"/>
            <w:vAlign w:val="center"/>
          </w:tcPr>
          <w:p w14:paraId="7B0B9661">
            <w:pPr>
              <w:widowControl/>
              <w:adjustRightInd w:val="0"/>
              <w:snapToGrid w:val="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1年</w:t>
            </w:r>
          </w:p>
        </w:tc>
        <w:tc>
          <w:tcPr>
            <w:tcW w:w="840" w:type="dxa"/>
            <w:vAlign w:val="center"/>
          </w:tcPr>
          <w:p w14:paraId="270EF5FB">
            <w:pPr>
              <w:widowControl/>
              <w:adjustRightInd w:val="0"/>
              <w:snapToGrid w:val="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1年</w:t>
            </w:r>
          </w:p>
        </w:tc>
        <w:tc>
          <w:tcPr>
            <w:tcW w:w="2350" w:type="dxa"/>
            <w:vMerge w:val="continue"/>
            <w:vAlign w:val="center"/>
          </w:tcPr>
          <w:p w14:paraId="1F14B138">
            <w:pPr>
              <w:widowControl/>
              <w:adjustRightInd w:val="0"/>
              <w:snapToGrid w:val="0"/>
              <w:jc w:val="center"/>
              <w:rPr>
                <w:rFonts w:hint="eastAsia" w:ascii="宋体" w:hAnsi="宋体" w:eastAsia="宋体" w:cs="宋体"/>
                <w:color w:val="auto"/>
                <w:kern w:val="0"/>
                <w:sz w:val="24"/>
                <w:szCs w:val="24"/>
                <w:highlight w:val="none"/>
                <w:lang w:val="en-US" w:eastAsia="zh-CN"/>
              </w:rPr>
            </w:pPr>
          </w:p>
        </w:tc>
        <w:tc>
          <w:tcPr>
            <w:tcW w:w="2150" w:type="dxa"/>
            <w:vMerge w:val="continue"/>
            <w:vAlign w:val="center"/>
          </w:tcPr>
          <w:p w14:paraId="0844468F">
            <w:pPr>
              <w:widowControl/>
              <w:adjustRightInd w:val="0"/>
              <w:snapToGrid w:val="0"/>
              <w:jc w:val="center"/>
              <w:rPr>
                <w:rFonts w:hint="eastAsia" w:ascii="宋体" w:hAnsi="宋体" w:eastAsia="宋体" w:cs="宋体"/>
                <w:color w:val="auto"/>
                <w:kern w:val="0"/>
                <w:sz w:val="24"/>
                <w:szCs w:val="24"/>
                <w:highlight w:val="none"/>
                <w:lang w:val="en-US" w:eastAsia="zh-CN"/>
              </w:rPr>
            </w:pPr>
          </w:p>
        </w:tc>
      </w:tr>
      <w:tr w14:paraId="34055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3" w:type="dxa"/>
            <w:vMerge w:val="continue"/>
            <w:vAlign w:val="center"/>
          </w:tcPr>
          <w:p w14:paraId="1A950487">
            <w:pPr>
              <w:widowControl/>
              <w:jc w:val="center"/>
              <w:rPr>
                <w:rFonts w:hint="eastAsia" w:ascii="宋体" w:hAnsi="宋体" w:eastAsia="宋体" w:cs="宋体"/>
                <w:color w:val="auto"/>
                <w:kern w:val="0"/>
                <w:sz w:val="24"/>
                <w:szCs w:val="24"/>
                <w:highlight w:val="none"/>
              </w:rPr>
            </w:pPr>
          </w:p>
        </w:tc>
        <w:tc>
          <w:tcPr>
            <w:tcW w:w="1383" w:type="dxa"/>
            <w:vAlign w:val="center"/>
          </w:tcPr>
          <w:p w14:paraId="77F19B85">
            <w:pPr>
              <w:widowControl/>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35kV变电站压板在线监测系统勘察</w:t>
            </w:r>
          </w:p>
        </w:tc>
        <w:tc>
          <w:tcPr>
            <w:tcW w:w="4264" w:type="dxa"/>
            <w:vAlign w:val="center"/>
          </w:tcPr>
          <w:p w14:paraId="45E764DC">
            <w:pPr>
              <w:widowControl/>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根据甲方及相关标准要求，完成35kV变电站压板在线监测系统现场勘察，主要包括项目现场设备及环境等资料搜集、记录、拍照等，并输出</w:t>
            </w:r>
            <w:r>
              <w:rPr>
                <w:rFonts w:hint="eastAsia" w:ascii="宋体" w:hAnsi="宋体" w:eastAsia="宋体" w:cs="宋体"/>
                <w:color w:val="auto"/>
                <w:kern w:val="0"/>
                <w:sz w:val="24"/>
                <w:szCs w:val="24"/>
                <w:highlight w:val="none"/>
                <w:lang w:eastAsia="zh-CN"/>
              </w:rPr>
              <w:t>勘察记录</w:t>
            </w:r>
            <w:r>
              <w:rPr>
                <w:rFonts w:hint="eastAsia" w:ascii="宋体" w:hAnsi="宋体" w:eastAsia="宋体" w:cs="宋体"/>
                <w:color w:val="auto"/>
                <w:kern w:val="0"/>
                <w:sz w:val="24"/>
                <w:szCs w:val="24"/>
                <w:highlight w:val="none"/>
                <w:lang w:val="en-US" w:eastAsia="zh-CN"/>
              </w:rPr>
              <w:t>，通过甲方及业主方验收。</w:t>
            </w:r>
          </w:p>
        </w:tc>
        <w:tc>
          <w:tcPr>
            <w:tcW w:w="730" w:type="dxa"/>
            <w:vAlign w:val="center"/>
          </w:tcPr>
          <w:p w14:paraId="2B0E097E">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64</w:t>
            </w:r>
          </w:p>
        </w:tc>
        <w:tc>
          <w:tcPr>
            <w:tcW w:w="740" w:type="dxa"/>
            <w:vAlign w:val="center"/>
          </w:tcPr>
          <w:p w14:paraId="78C4D5D6">
            <w:pPr>
              <w:widowControl/>
              <w:adjustRightInd w:val="0"/>
              <w:snapToGrid w:val="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站</w:t>
            </w:r>
          </w:p>
        </w:tc>
        <w:tc>
          <w:tcPr>
            <w:tcW w:w="710" w:type="dxa"/>
            <w:vAlign w:val="center"/>
          </w:tcPr>
          <w:p w14:paraId="737DAF2B">
            <w:pPr>
              <w:widowControl/>
              <w:adjustRightInd w:val="0"/>
              <w:snapToGrid w:val="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1年</w:t>
            </w:r>
          </w:p>
        </w:tc>
        <w:tc>
          <w:tcPr>
            <w:tcW w:w="840" w:type="dxa"/>
            <w:vAlign w:val="center"/>
          </w:tcPr>
          <w:p w14:paraId="7E3808E8">
            <w:pPr>
              <w:widowControl/>
              <w:adjustRightInd w:val="0"/>
              <w:snapToGrid w:val="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1年</w:t>
            </w:r>
          </w:p>
        </w:tc>
        <w:tc>
          <w:tcPr>
            <w:tcW w:w="2350" w:type="dxa"/>
            <w:vMerge w:val="continue"/>
            <w:vAlign w:val="center"/>
          </w:tcPr>
          <w:p w14:paraId="670538A8">
            <w:pPr>
              <w:widowControl/>
              <w:adjustRightInd w:val="0"/>
              <w:snapToGrid w:val="0"/>
              <w:jc w:val="center"/>
              <w:rPr>
                <w:rFonts w:hint="eastAsia" w:ascii="宋体" w:hAnsi="宋体" w:eastAsia="宋体" w:cs="宋体"/>
                <w:color w:val="auto"/>
                <w:kern w:val="0"/>
                <w:sz w:val="24"/>
                <w:szCs w:val="24"/>
                <w:highlight w:val="none"/>
                <w:lang w:val="en-US" w:eastAsia="zh-CN"/>
              </w:rPr>
            </w:pPr>
          </w:p>
        </w:tc>
        <w:tc>
          <w:tcPr>
            <w:tcW w:w="2150" w:type="dxa"/>
            <w:vMerge w:val="continue"/>
            <w:vAlign w:val="center"/>
          </w:tcPr>
          <w:p w14:paraId="5F1C5D1D">
            <w:pPr>
              <w:widowControl/>
              <w:adjustRightInd w:val="0"/>
              <w:snapToGrid w:val="0"/>
              <w:jc w:val="center"/>
              <w:rPr>
                <w:rFonts w:hint="eastAsia" w:ascii="宋体" w:hAnsi="宋体" w:eastAsia="宋体" w:cs="宋体"/>
                <w:color w:val="auto"/>
                <w:kern w:val="0"/>
                <w:sz w:val="24"/>
                <w:szCs w:val="24"/>
                <w:highlight w:val="none"/>
                <w:lang w:val="en-US" w:eastAsia="zh-CN"/>
              </w:rPr>
            </w:pPr>
          </w:p>
        </w:tc>
      </w:tr>
      <w:tr w14:paraId="00D38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3" w:type="dxa"/>
            <w:vMerge w:val="continue"/>
            <w:vAlign w:val="center"/>
          </w:tcPr>
          <w:p w14:paraId="67CBC92B">
            <w:pPr>
              <w:widowControl/>
              <w:jc w:val="center"/>
              <w:rPr>
                <w:rFonts w:hint="eastAsia" w:ascii="宋体" w:hAnsi="宋体" w:eastAsia="宋体" w:cs="宋体"/>
                <w:color w:val="auto"/>
                <w:kern w:val="0"/>
                <w:sz w:val="24"/>
                <w:szCs w:val="24"/>
                <w:highlight w:val="none"/>
              </w:rPr>
            </w:pPr>
          </w:p>
        </w:tc>
        <w:tc>
          <w:tcPr>
            <w:tcW w:w="1383" w:type="dxa"/>
            <w:vAlign w:val="center"/>
          </w:tcPr>
          <w:p w14:paraId="48705B3C">
            <w:pPr>
              <w:widowControl/>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220kV变电站压板在线监测系统安装</w:t>
            </w:r>
          </w:p>
        </w:tc>
        <w:tc>
          <w:tcPr>
            <w:tcW w:w="4264" w:type="dxa"/>
            <w:vAlign w:val="center"/>
          </w:tcPr>
          <w:p w14:paraId="5536F9B6">
            <w:pPr>
              <w:widowControl/>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根据甲方及相关标准要求，完成220kV变电站管理单元、采集单元、汇集单元安装、线缆敷设（含连接）以及相关辅材安装，满足设计方案要求，通过甲方及业主方验收。</w:t>
            </w:r>
          </w:p>
        </w:tc>
        <w:tc>
          <w:tcPr>
            <w:tcW w:w="730" w:type="dxa"/>
            <w:vAlign w:val="center"/>
          </w:tcPr>
          <w:p w14:paraId="651A5CF6">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9</w:t>
            </w:r>
          </w:p>
        </w:tc>
        <w:tc>
          <w:tcPr>
            <w:tcW w:w="740" w:type="dxa"/>
            <w:vAlign w:val="center"/>
          </w:tcPr>
          <w:p w14:paraId="6975BADA">
            <w:pPr>
              <w:widowControl/>
              <w:adjustRightInd w:val="0"/>
              <w:snapToGrid w:val="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站</w:t>
            </w:r>
          </w:p>
        </w:tc>
        <w:tc>
          <w:tcPr>
            <w:tcW w:w="710" w:type="dxa"/>
            <w:vAlign w:val="center"/>
          </w:tcPr>
          <w:p w14:paraId="52D288B1">
            <w:pPr>
              <w:widowControl/>
              <w:adjustRightInd w:val="0"/>
              <w:snapToGrid w:val="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1年</w:t>
            </w:r>
          </w:p>
        </w:tc>
        <w:tc>
          <w:tcPr>
            <w:tcW w:w="840" w:type="dxa"/>
            <w:vAlign w:val="center"/>
          </w:tcPr>
          <w:p w14:paraId="383766DF">
            <w:pPr>
              <w:widowControl/>
              <w:adjustRightInd w:val="0"/>
              <w:snapToGrid w:val="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1年</w:t>
            </w:r>
          </w:p>
        </w:tc>
        <w:tc>
          <w:tcPr>
            <w:tcW w:w="2350" w:type="dxa"/>
            <w:vMerge w:val="continue"/>
            <w:vAlign w:val="center"/>
          </w:tcPr>
          <w:p w14:paraId="46558E5D">
            <w:pPr>
              <w:widowControl/>
              <w:adjustRightInd w:val="0"/>
              <w:snapToGrid w:val="0"/>
              <w:jc w:val="center"/>
              <w:rPr>
                <w:rFonts w:hint="eastAsia" w:ascii="宋体" w:hAnsi="宋体" w:eastAsia="宋体" w:cs="宋体"/>
                <w:color w:val="auto"/>
                <w:kern w:val="0"/>
                <w:sz w:val="24"/>
                <w:szCs w:val="24"/>
                <w:highlight w:val="none"/>
                <w:lang w:val="en-US" w:eastAsia="zh-CN"/>
              </w:rPr>
            </w:pPr>
          </w:p>
        </w:tc>
        <w:tc>
          <w:tcPr>
            <w:tcW w:w="2150" w:type="dxa"/>
            <w:vMerge w:val="continue"/>
            <w:vAlign w:val="center"/>
          </w:tcPr>
          <w:p w14:paraId="6B280A05">
            <w:pPr>
              <w:widowControl/>
              <w:adjustRightInd w:val="0"/>
              <w:snapToGrid w:val="0"/>
              <w:jc w:val="center"/>
              <w:rPr>
                <w:rFonts w:hint="eastAsia" w:ascii="宋体" w:hAnsi="宋体" w:eastAsia="宋体" w:cs="宋体"/>
                <w:color w:val="auto"/>
                <w:kern w:val="0"/>
                <w:sz w:val="24"/>
                <w:szCs w:val="24"/>
                <w:highlight w:val="none"/>
                <w:lang w:val="en-US" w:eastAsia="zh-CN"/>
              </w:rPr>
            </w:pPr>
          </w:p>
        </w:tc>
      </w:tr>
      <w:tr w14:paraId="0F576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3" w:type="dxa"/>
            <w:vMerge w:val="continue"/>
            <w:vAlign w:val="center"/>
          </w:tcPr>
          <w:p w14:paraId="5DF61F5E">
            <w:pPr>
              <w:widowControl/>
              <w:jc w:val="center"/>
              <w:rPr>
                <w:rFonts w:hint="eastAsia" w:ascii="宋体" w:hAnsi="宋体" w:eastAsia="宋体" w:cs="宋体"/>
                <w:color w:val="auto"/>
                <w:kern w:val="0"/>
                <w:sz w:val="24"/>
                <w:szCs w:val="24"/>
                <w:highlight w:val="none"/>
              </w:rPr>
            </w:pPr>
          </w:p>
        </w:tc>
        <w:tc>
          <w:tcPr>
            <w:tcW w:w="1383" w:type="dxa"/>
            <w:vAlign w:val="center"/>
          </w:tcPr>
          <w:p w14:paraId="6218677F">
            <w:pPr>
              <w:widowControl/>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110kV变电站压板在线监测系统安装</w:t>
            </w:r>
          </w:p>
        </w:tc>
        <w:tc>
          <w:tcPr>
            <w:tcW w:w="4264" w:type="dxa"/>
            <w:vAlign w:val="center"/>
          </w:tcPr>
          <w:p w14:paraId="45A4058E">
            <w:pPr>
              <w:widowControl/>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根据甲方及相关标准要求，完成110kV变电站管理单元、采集单元、汇集单元安装、线缆敷设（含连接）以及相关辅材安装，满足设计方案要求，通过甲方及业主方验收。</w:t>
            </w:r>
          </w:p>
        </w:tc>
        <w:tc>
          <w:tcPr>
            <w:tcW w:w="730" w:type="dxa"/>
            <w:vAlign w:val="center"/>
          </w:tcPr>
          <w:p w14:paraId="277FD463">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174</w:t>
            </w:r>
          </w:p>
        </w:tc>
        <w:tc>
          <w:tcPr>
            <w:tcW w:w="740" w:type="dxa"/>
            <w:vAlign w:val="center"/>
          </w:tcPr>
          <w:p w14:paraId="79977A5C">
            <w:pPr>
              <w:widowControl/>
              <w:adjustRightInd w:val="0"/>
              <w:snapToGrid w:val="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站</w:t>
            </w:r>
          </w:p>
        </w:tc>
        <w:tc>
          <w:tcPr>
            <w:tcW w:w="710" w:type="dxa"/>
            <w:vAlign w:val="center"/>
          </w:tcPr>
          <w:p w14:paraId="199517FF">
            <w:pPr>
              <w:widowControl/>
              <w:adjustRightInd w:val="0"/>
              <w:snapToGrid w:val="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1年</w:t>
            </w:r>
          </w:p>
        </w:tc>
        <w:tc>
          <w:tcPr>
            <w:tcW w:w="840" w:type="dxa"/>
            <w:vAlign w:val="center"/>
          </w:tcPr>
          <w:p w14:paraId="1A91FFC8">
            <w:pPr>
              <w:widowControl/>
              <w:adjustRightInd w:val="0"/>
              <w:snapToGrid w:val="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1年</w:t>
            </w:r>
          </w:p>
        </w:tc>
        <w:tc>
          <w:tcPr>
            <w:tcW w:w="2350" w:type="dxa"/>
            <w:vMerge w:val="continue"/>
            <w:vAlign w:val="center"/>
          </w:tcPr>
          <w:p w14:paraId="0584A8B7">
            <w:pPr>
              <w:widowControl/>
              <w:adjustRightInd w:val="0"/>
              <w:snapToGrid w:val="0"/>
              <w:jc w:val="center"/>
              <w:rPr>
                <w:rFonts w:hint="eastAsia" w:ascii="宋体" w:hAnsi="宋体" w:eastAsia="宋体" w:cs="宋体"/>
                <w:color w:val="auto"/>
                <w:kern w:val="0"/>
                <w:sz w:val="24"/>
                <w:szCs w:val="24"/>
                <w:highlight w:val="none"/>
                <w:lang w:val="en-US" w:eastAsia="zh-CN"/>
              </w:rPr>
            </w:pPr>
          </w:p>
        </w:tc>
        <w:tc>
          <w:tcPr>
            <w:tcW w:w="2150" w:type="dxa"/>
            <w:vMerge w:val="continue"/>
            <w:vAlign w:val="center"/>
          </w:tcPr>
          <w:p w14:paraId="17788786">
            <w:pPr>
              <w:widowControl/>
              <w:adjustRightInd w:val="0"/>
              <w:snapToGrid w:val="0"/>
              <w:jc w:val="center"/>
              <w:rPr>
                <w:rFonts w:hint="eastAsia" w:ascii="宋体" w:hAnsi="宋体" w:eastAsia="宋体" w:cs="宋体"/>
                <w:color w:val="auto"/>
                <w:kern w:val="0"/>
                <w:sz w:val="24"/>
                <w:szCs w:val="24"/>
                <w:highlight w:val="none"/>
                <w:lang w:val="en-US" w:eastAsia="zh-CN"/>
              </w:rPr>
            </w:pPr>
          </w:p>
        </w:tc>
      </w:tr>
      <w:tr w14:paraId="0B599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3" w:type="dxa"/>
            <w:vMerge w:val="continue"/>
            <w:vAlign w:val="center"/>
          </w:tcPr>
          <w:p w14:paraId="2B13DEA1">
            <w:pPr>
              <w:widowControl/>
              <w:jc w:val="center"/>
              <w:rPr>
                <w:rFonts w:hint="eastAsia" w:ascii="宋体" w:hAnsi="宋体" w:eastAsia="宋体" w:cs="宋体"/>
                <w:color w:val="auto"/>
                <w:kern w:val="0"/>
                <w:sz w:val="24"/>
                <w:szCs w:val="24"/>
                <w:highlight w:val="none"/>
              </w:rPr>
            </w:pPr>
          </w:p>
        </w:tc>
        <w:tc>
          <w:tcPr>
            <w:tcW w:w="1383" w:type="dxa"/>
            <w:vAlign w:val="center"/>
          </w:tcPr>
          <w:p w14:paraId="3D61B0C7">
            <w:pPr>
              <w:widowControl/>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35kV变电站压板在线监测系统安装</w:t>
            </w:r>
          </w:p>
        </w:tc>
        <w:tc>
          <w:tcPr>
            <w:tcW w:w="4264" w:type="dxa"/>
            <w:vAlign w:val="center"/>
          </w:tcPr>
          <w:p w14:paraId="1B844314">
            <w:pPr>
              <w:widowControl/>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根据甲方及相关标准要求，完成35kV变电站管理单元、采集单元、汇集单元安装、线缆敷设（含连接）以及相关辅材安装，满足设计方案要求，通过甲方及业主方验收。</w:t>
            </w:r>
          </w:p>
        </w:tc>
        <w:tc>
          <w:tcPr>
            <w:tcW w:w="730" w:type="dxa"/>
            <w:vAlign w:val="center"/>
          </w:tcPr>
          <w:p w14:paraId="28A5BEDA">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64</w:t>
            </w:r>
          </w:p>
        </w:tc>
        <w:tc>
          <w:tcPr>
            <w:tcW w:w="740" w:type="dxa"/>
            <w:vAlign w:val="center"/>
          </w:tcPr>
          <w:p w14:paraId="7D6383A9">
            <w:pPr>
              <w:widowControl/>
              <w:adjustRightInd w:val="0"/>
              <w:snapToGrid w:val="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站</w:t>
            </w:r>
          </w:p>
        </w:tc>
        <w:tc>
          <w:tcPr>
            <w:tcW w:w="710" w:type="dxa"/>
            <w:vAlign w:val="center"/>
          </w:tcPr>
          <w:p w14:paraId="5CD63E69">
            <w:pPr>
              <w:widowControl/>
              <w:adjustRightInd w:val="0"/>
              <w:snapToGrid w:val="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1年</w:t>
            </w:r>
          </w:p>
        </w:tc>
        <w:tc>
          <w:tcPr>
            <w:tcW w:w="840" w:type="dxa"/>
            <w:vAlign w:val="center"/>
          </w:tcPr>
          <w:p w14:paraId="06C49F98">
            <w:pPr>
              <w:widowControl/>
              <w:adjustRightInd w:val="0"/>
              <w:snapToGrid w:val="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1年</w:t>
            </w:r>
          </w:p>
        </w:tc>
        <w:tc>
          <w:tcPr>
            <w:tcW w:w="2350" w:type="dxa"/>
            <w:vMerge w:val="continue"/>
            <w:vAlign w:val="center"/>
          </w:tcPr>
          <w:p w14:paraId="6D89D8D3">
            <w:pPr>
              <w:widowControl/>
              <w:adjustRightInd w:val="0"/>
              <w:snapToGrid w:val="0"/>
              <w:jc w:val="center"/>
              <w:rPr>
                <w:rFonts w:hint="eastAsia" w:ascii="宋体" w:hAnsi="宋体" w:eastAsia="宋体" w:cs="宋体"/>
                <w:color w:val="auto"/>
                <w:kern w:val="0"/>
                <w:sz w:val="24"/>
                <w:szCs w:val="24"/>
                <w:highlight w:val="none"/>
                <w:lang w:val="en-US" w:eastAsia="zh-CN"/>
              </w:rPr>
            </w:pPr>
          </w:p>
        </w:tc>
        <w:tc>
          <w:tcPr>
            <w:tcW w:w="2150" w:type="dxa"/>
            <w:vMerge w:val="continue"/>
            <w:vAlign w:val="center"/>
          </w:tcPr>
          <w:p w14:paraId="0130568A">
            <w:pPr>
              <w:widowControl/>
              <w:adjustRightInd w:val="0"/>
              <w:snapToGrid w:val="0"/>
              <w:jc w:val="center"/>
              <w:rPr>
                <w:rFonts w:hint="eastAsia" w:ascii="宋体" w:hAnsi="宋体" w:eastAsia="宋体" w:cs="宋体"/>
                <w:color w:val="auto"/>
                <w:kern w:val="0"/>
                <w:sz w:val="24"/>
                <w:szCs w:val="24"/>
                <w:highlight w:val="none"/>
                <w:lang w:val="en-US" w:eastAsia="zh-CN"/>
              </w:rPr>
            </w:pPr>
          </w:p>
        </w:tc>
      </w:tr>
      <w:tr w14:paraId="263AA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3" w:type="dxa"/>
            <w:vMerge w:val="continue"/>
            <w:vAlign w:val="center"/>
          </w:tcPr>
          <w:p w14:paraId="055A9796">
            <w:pPr>
              <w:widowControl/>
              <w:jc w:val="center"/>
              <w:rPr>
                <w:rFonts w:hint="eastAsia" w:ascii="宋体" w:hAnsi="宋体" w:eastAsia="宋体" w:cs="宋体"/>
                <w:color w:val="auto"/>
                <w:kern w:val="0"/>
                <w:sz w:val="24"/>
                <w:szCs w:val="24"/>
                <w:highlight w:val="none"/>
              </w:rPr>
            </w:pPr>
          </w:p>
        </w:tc>
        <w:tc>
          <w:tcPr>
            <w:tcW w:w="1383" w:type="dxa"/>
            <w:vAlign w:val="center"/>
          </w:tcPr>
          <w:p w14:paraId="589831D1">
            <w:pPr>
              <w:widowControl/>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220kV变电站压板在线监测系统调试</w:t>
            </w:r>
          </w:p>
        </w:tc>
        <w:tc>
          <w:tcPr>
            <w:tcW w:w="4264" w:type="dxa"/>
            <w:vAlign w:val="center"/>
          </w:tcPr>
          <w:p w14:paraId="6E66D4CC">
            <w:pPr>
              <w:widowControl/>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根据甲方及相关标准要求，完成220kV变电站管理单元、采集单元、汇集单元调试，确保压板在线监测系统正常运行，满足设计方案要求，通过甲方及业主方验收。</w:t>
            </w:r>
          </w:p>
        </w:tc>
        <w:tc>
          <w:tcPr>
            <w:tcW w:w="730" w:type="dxa"/>
            <w:vAlign w:val="center"/>
          </w:tcPr>
          <w:p w14:paraId="7A3A0202">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9</w:t>
            </w:r>
          </w:p>
        </w:tc>
        <w:tc>
          <w:tcPr>
            <w:tcW w:w="740" w:type="dxa"/>
            <w:vAlign w:val="center"/>
          </w:tcPr>
          <w:p w14:paraId="7B38E6A9">
            <w:pPr>
              <w:widowControl/>
              <w:adjustRightInd w:val="0"/>
              <w:snapToGrid w:val="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站</w:t>
            </w:r>
          </w:p>
        </w:tc>
        <w:tc>
          <w:tcPr>
            <w:tcW w:w="710" w:type="dxa"/>
            <w:vAlign w:val="center"/>
          </w:tcPr>
          <w:p w14:paraId="6A3DBF00">
            <w:pPr>
              <w:widowControl/>
              <w:adjustRightInd w:val="0"/>
              <w:snapToGrid w:val="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1年</w:t>
            </w:r>
          </w:p>
        </w:tc>
        <w:tc>
          <w:tcPr>
            <w:tcW w:w="840" w:type="dxa"/>
            <w:vAlign w:val="center"/>
          </w:tcPr>
          <w:p w14:paraId="3C2B9DAA">
            <w:pPr>
              <w:widowControl/>
              <w:adjustRightInd w:val="0"/>
              <w:snapToGrid w:val="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1年</w:t>
            </w:r>
          </w:p>
        </w:tc>
        <w:tc>
          <w:tcPr>
            <w:tcW w:w="2350" w:type="dxa"/>
            <w:vMerge w:val="continue"/>
            <w:vAlign w:val="center"/>
          </w:tcPr>
          <w:p w14:paraId="4375412E">
            <w:pPr>
              <w:widowControl/>
              <w:adjustRightInd w:val="0"/>
              <w:snapToGrid w:val="0"/>
              <w:jc w:val="center"/>
              <w:rPr>
                <w:rFonts w:hint="eastAsia" w:ascii="宋体" w:hAnsi="宋体" w:eastAsia="宋体" w:cs="宋体"/>
                <w:color w:val="auto"/>
                <w:kern w:val="0"/>
                <w:sz w:val="24"/>
                <w:szCs w:val="24"/>
                <w:highlight w:val="none"/>
                <w:lang w:val="en-US" w:eastAsia="zh-CN"/>
              </w:rPr>
            </w:pPr>
          </w:p>
        </w:tc>
        <w:tc>
          <w:tcPr>
            <w:tcW w:w="2150" w:type="dxa"/>
            <w:vMerge w:val="continue"/>
            <w:vAlign w:val="center"/>
          </w:tcPr>
          <w:p w14:paraId="4D48EE0C">
            <w:pPr>
              <w:widowControl/>
              <w:adjustRightInd w:val="0"/>
              <w:snapToGrid w:val="0"/>
              <w:jc w:val="center"/>
              <w:rPr>
                <w:rFonts w:hint="eastAsia" w:ascii="宋体" w:hAnsi="宋体" w:eastAsia="宋体" w:cs="宋体"/>
                <w:color w:val="auto"/>
                <w:kern w:val="0"/>
                <w:sz w:val="24"/>
                <w:szCs w:val="24"/>
                <w:highlight w:val="none"/>
                <w:lang w:val="en-US" w:eastAsia="zh-CN"/>
              </w:rPr>
            </w:pPr>
          </w:p>
        </w:tc>
      </w:tr>
      <w:tr w14:paraId="325BB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3" w:type="dxa"/>
            <w:vMerge w:val="continue"/>
            <w:vAlign w:val="center"/>
          </w:tcPr>
          <w:p w14:paraId="4BD24EB5">
            <w:pPr>
              <w:widowControl/>
              <w:jc w:val="center"/>
              <w:rPr>
                <w:rFonts w:hint="eastAsia" w:ascii="宋体" w:hAnsi="宋体" w:eastAsia="宋体" w:cs="宋体"/>
                <w:color w:val="auto"/>
                <w:kern w:val="0"/>
                <w:sz w:val="24"/>
                <w:szCs w:val="24"/>
                <w:highlight w:val="none"/>
              </w:rPr>
            </w:pPr>
          </w:p>
        </w:tc>
        <w:tc>
          <w:tcPr>
            <w:tcW w:w="1383" w:type="dxa"/>
            <w:vAlign w:val="center"/>
          </w:tcPr>
          <w:p w14:paraId="58751474">
            <w:pPr>
              <w:widowControl/>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110kV变电站压板在线监测系统调试</w:t>
            </w:r>
          </w:p>
        </w:tc>
        <w:tc>
          <w:tcPr>
            <w:tcW w:w="4264" w:type="dxa"/>
            <w:vAlign w:val="center"/>
          </w:tcPr>
          <w:p w14:paraId="40880EBA">
            <w:pPr>
              <w:widowControl/>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根据甲方及相关标准要求，完成110kV变电站管理单元、采集单元、汇集单元调试，确保压板在线监测系统正常运行，满足设计方案要求，通过甲方及业主方验收。</w:t>
            </w:r>
          </w:p>
        </w:tc>
        <w:tc>
          <w:tcPr>
            <w:tcW w:w="730" w:type="dxa"/>
            <w:vAlign w:val="center"/>
          </w:tcPr>
          <w:p w14:paraId="7609DDD5">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174</w:t>
            </w:r>
          </w:p>
        </w:tc>
        <w:tc>
          <w:tcPr>
            <w:tcW w:w="740" w:type="dxa"/>
            <w:vAlign w:val="center"/>
          </w:tcPr>
          <w:p w14:paraId="0E6CCDC0">
            <w:pPr>
              <w:widowControl/>
              <w:adjustRightInd w:val="0"/>
              <w:snapToGrid w:val="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站</w:t>
            </w:r>
          </w:p>
        </w:tc>
        <w:tc>
          <w:tcPr>
            <w:tcW w:w="710" w:type="dxa"/>
            <w:vAlign w:val="center"/>
          </w:tcPr>
          <w:p w14:paraId="4F253783">
            <w:pPr>
              <w:widowControl/>
              <w:adjustRightInd w:val="0"/>
              <w:snapToGrid w:val="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1年</w:t>
            </w:r>
          </w:p>
        </w:tc>
        <w:tc>
          <w:tcPr>
            <w:tcW w:w="840" w:type="dxa"/>
            <w:vAlign w:val="center"/>
          </w:tcPr>
          <w:p w14:paraId="1BBBB067">
            <w:pPr>
              <w:widowControl/>
              <w:adjustRightInd w:val="0"/>
              <w:snapToGrid w:val="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1年</w:t>
            </w:r>
          </w:p>
        </w:tc>
        <w:tc>
          <w:tcPr>
            <w:tcW w:w="2350" w:type="dxa"/>
            <w:vMerge w:val="continue"/>
            <w:vAlign w:val="center"/>
          </w:tcPr>
          <w:p w14:paraId="4AA1FB27">
            <w:pPr>
              <w:widowControl/>
              <w:adjustRightInd w:val="0"/>
              <w:snapToGrid w:val="0"/>
              <w:jc w:val="center"/>
              <w:rPr>
                <w:rFonts w:hint="eastAsia" w:ascii="宋体" w:hAnsi="宋体" w:eastAsia="宋体" w:cs="宋体"/>
                <w:color w:val="auto"/>
                <w:kern w:val="0"/>
                <w:sz w:val="24"/>
                <w:szCs w:val="24"/>
                <w:highlight w:val="none"/>
                <w:lang w:val="en-US" w:eastAsia="zh-CN"/>
              </w:rPr>
            </w:pPr>
          </w:p>
        </w:tc>
        <w:tc>
          <w:tcPr>
            <w:tcW w:w="2150" w:type="dxa"/>
            <w:vMerge w:val="continue"/>
            <w:vAlign w:val="center"/>
          </w:tcPr>
          <w:p w14:paraId="29A32783">
            <w:pPr>
              <w:widowControl/>
              <w:adjustRightInd w:val="0"/>
              <w:snapToGrid w:val="0"/>
              <w:jc w:val="center"/>
              <w:rPr>
                <w:rFonts w:hint="eastAsia" w:ascii="宋体" w:hAnsi="宋体" w:eastAsia="宋体" w:cs="宋体"/>
                <w:color w:val="auto"/>
                <w:kern w:val="0"/>
                <w:sz w:val="24"/>
                <w:szCs w:val="24"/>
                <w:highlight w:val="none"/>
                <w:lang w:val="en-US" w:eastAsia="zh-CN"/>
              </w:rPr>
            </w:pPr>
          </w:p>
        </w:tc>
      </w:tr>
      <w:tr w14:paraId="17A8D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3" w:type="dxa"/>
            <w:vMerge w:val="continue"/>
            <w:vAlign w:val="center"/>
          </w:tcPr>
          <w:p w14:paraId="5F4D4ECF">
            <w:pPr>
              <w:widowControl/>
              <w:jc w:val="center"/>
              <w:rPr>
                <w:rFonts w:hint="eastAsia" w:ascii="宋体" w:hAnsi="宋体" w:eastAsia="宋体" w:cs="宋体"/>
                <w:color w:val="auto"/>
                <w:kern w:val="0"/>
                <w:sz w:val="24"/>
                <w:szCs w:val="24"/>
                <w:highlight w:val="none"/>
              </w:rPr>
            </w:pPr>
          </w:p>
        </w:tc>
        <w:tc>
          <w:tcPr>
            <w:tcW w:w="1383" w:type="dxa"/>
            <w:vAlign w:val="center"/>
          </w:tcPr>
          <w:p w14:paraId="2A25F908">
            <w:pPr>
              <w:widowControl/>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35kV变电站压板在线监测系统调试</w:t>
            </w:r>
          </w:p>
        </w:tc>
        <w:tc>
          <w:tcPr>
            <w:tcW w:w="4264" w:type="dxa"/>
            <w:vAlign w:val="center"/>
          </w:tcPr>
          <w:p w14:paraId="12E0B131">
            <w:pPr>
              <w:widowControl/>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根据甲方及相关标准要求，完成35kV变电站管理单元、采集单元、汇集单元调试，确保压板在线监测系统正常运行，满足设计方案要求，通过甲方及业主方验收。</w:t>
            </w:r>
          </w:p>
        </w:tc>
        <w:tc>
          <w:tcPr>
            <w:tcW w:w="730" w:type="dxa"/>
            <w:vAlign w:val="center"/>
          </w:tcPr>
          <w:p w14:paraId="62321FE8">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64</w:t>
            </w:r>
          </w:p>
        </w:tc>
        <w:tc>
          <w:tcPr>
            <w:tcW w:w="740" w:type="dxa"/>
            <w:vAlign w:val="center"/>
          </w:tcPr>
          <w:p w14:paraId="1568DE5C">
            <w:pPr>
              <w:widowControl/>
              <w:adjustRightInd w:val="0"/>
              <w:snapToGrid w:val="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站</w:t>
            </w:r>
          </w:p>
        </w:tc>
        <w:tc>
          <w:tcPr>
            <w:tcW w:w="710" w:type="dxa"/>
            <w:vAlign w:val="center"/>
          </w:tcPr>
          <w:p w14:paraId="0CEBF540">
            <w:pPr>
              <w:widowControl/>
              <w:adjustRightInd w:val="0"/>
              <w:snapToGrid w:val="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1年</w:t>
            </w:r>
          </w:p>
        </w:tc>
        <w:tc>
          <w:tcPr>
            <w:tcW w:w="840" w:type="dxa"/>
            <w:vAlign w:val="center"/>
          </w:tcPr>
          <w:p w14:paraId="7815E3A4">
            <w:pPr>
              <w:widowControl/>
              <w:adjustRightInd w:val="0"/>
              <w:snapToGrid w:val="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1年</w:t>
            </w:r>
          </w:p>
        </w:tc>
        <w:tc>
          <w:tcPr>
            <w:tcW w:w="2350" w:type="dxa"/>
            <w:vMerge w:val="continue"/>
            <w:vAlign w:val="center"/>
          </w:tcPr>
          <w:p w14:paraId="255D1B55">
            <w:pPr>
              <w:widowControl/>
              <w:adjustRightInd w:val="0"/>
              <w:snapToGrid w:val="0"/>
              <w:jc w:val="center"/>
              <w:rPr>
                <w:rFonts w:hint="eastAsia" w:ascii="宋体" w:hAnsi="宋体" w:eastAsia="宋体" w:cs="宋体"/>
                <w:color w:val="auto"/>
                <w:kern w:val="0"/>
                <w:sz w:val="24"/>
                <w:szCs w:val="24"/>
                <w:highlight w:val="none"/>
                <w:lang w:val="en-US" w:eastAsia="zh-CN"/>
              </w:rPr>
            </w:pPr>
          </w:p>
        </w:tc>
        <w:tc>
          <w:tcPr>
            <w:tcW w:w="2150" w:type="dxa"/>
            <w:vMerge w:val="continue"/>
            <w:vAlign w:val="center"/>
          </w:tcPr>
          <w:p w14:paraId="67EC476B">
            <w:pPr>
              <w:widowControl/>
              <w:adjustRightInd w:val="0"/>
              <w:snapToGrid w:val="0"/>
              <w:jc w:val="center"/>
              <w:rPr>
                <w:rFonts w:hint="eastAsia" w:ascii="宋体" w:hAnsi="宋体" w:eastAsia="宋体" w:cs="宋体"/>
                <w:color w:val="auto"/>
                <w:kern w:val="0"/>
                <w:sz w:val="24"/>
                <w:szCs w:val="24"/>
                <w:highlight w:val="none"/>
                <w:lang w:val="en-US" w:eastAsia="zh-CN"/>
              </w:rPr>
            </w:pPr>
          </w:p>
        </w:tc>
      </w:tr>
      <w:tr w14:paraId="19C4D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3" w:type="dxa"/>
            <w:vMerge w:val="continue"/>
            <w:vAlign w:val="center"/>
          </w:tcPr>
          <w:p w14:paraId="6806B941">
            <w:pPr>
              <w:widowControl/>
              <w:jc w:val="center"/>
              <w:rPr>
                <w:rFonts w:hint="eastAsia" w:ascii="宋体" w:hAnsi="宋体" w:eastAsia="宋体" w:cs="宋体"/>
                <w:color w:val="auto"/>
                <w:kern w:val="0"/>
                <w:sz w:val="24"/>
                <w:szCs w:val="24"/>
                <w:highlight w:val="none"/>
              </w:rPr>
            </w:pPr>
          </w:p>
        </w:tc>
        <w:tc>
          <w:tcPr>
            <w:tcW w:w="1383" w:type="dxa"/>
            <w:vAlign w:val="center"/>
          </w:tcPr>
          <w:p w14:paraId="312F7321">
            <w:pPr>
              <w:widowControl/>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综合用工</w:t>
            </w:r>
          </w:p>
        </w:tc>
        <w:tc>
          <w:tcPr>
            <w:tcW w:w="4264" w:type="dxa"/>
            <w:vAlign w:val="center"/>
          </w:tcPr>
          <w:p w14:paraId="7B09DDBA">
            <w:pPr>
              <w:widowControl/>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为完成项目交付，但本合同未约定相关定价的工作内容。因业主方、甲方原因产生的临时性工作，事先经甲方认可后，按综合</w:t>
            </w:r>
            <w:r>
              <w:rPr>
                <w:rFonts w:hint="eastAsia" w:ascii="宋体" w:hAnsi="宋体" w:eastAsia="宋体" w:cs="宋体"/>
                <w:color w:val="auto"/>
                <w:kern w:val="0"/>
                <w:sz w:val="24"/>
                <w:szCs w:val="24"/>
                <w:highlight w:val="none"/>
                <w:lang w:val="en-US" w:eastAsia="zh-CN"/>
              </w:rPr>
              <w:t>用工</w:t>
            </w:r>
            <w:r>
              <w:rPr>
                <w:rFonts w:hint="eastAsia" w:ascii="宋体" w:hAnsi="宋体" w:eastAsia="宋体" w:cs="宋体"/>
                <w:color w:val="auto"/>
                <w:kern w:val="0"/>
                <w:sz w:val="24"/>
                <w:szCs w:val="24"/>
                <w:highlight w:val="none"/>
              </w:rPr>
              <w:t>结算。</w:t>
            </w:r>
          </w:p>
        </w:tc>
        <w:tc>
          <w:tcPr>
            <w:tcW w:w="730" w:type="dxa"/>
            <w:vAlign w:val="center"/>
          </w:tcPr>
          <w:p w14:paraId="5BB8D81A">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100</w:t>
            </w:r>
          </w:p>
        </w:tc>
        <w:tc>
          <w:tcPr>
            <w:tcW w:w="740" w:type="dxa"/>
            <w:vAlign w:val="center"/>
          </w:tcPr>
          <w:p w14:paraId="12740EC0">
            <w:pPr>
              <w:widowControl/>
              <w:adjustRightInd w:val="0"/>
              <w:snapToGrid w:val="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工日</w:t>
            </w:r>
          </w:p>
        </w:tc>
        <w:tc>
          <w:tcPr>
            <w:tcW w:w="710" w:type="dxa"/>
            <w:vAlign w:val="center"/>
          </w:tcPr>
          <w:p w14:paraId="624557AE">
            <w:pPr>
              <w:widowControl/>
              <w:adjustRightInd w:val="0"/>
              <w:snapToGrid w:val="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1年</w:t>
            </w:r>
          </w:p>
        </w:tc>
        <w:tc>
          <w:tcPr>
            <w:tcW w:w="840" w:type="dxa"/>
            <w:vAlign w:val="center"/>
          </w:tcPr>
          <w:p w14:paraId="627721A2">
            <w:pPr>
              <w:widowControl/>
              <w:adjustRightInd w:val="0"/>
              <w:snapToGrid w:val="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1年</w:t>
            </w:r>
          </w:p>
        </w:tc>
        <w:tc>
          <w:tcPr>
            <w:tcW w:w="2350" w:type="dxa"/>
            <w:vMerge w:val="continue"/>
            <w:vAlign w:val="center"/>
          </w:tcPr>
          <w:p w14:paraId="04B6B4A9">
            <w:pPr>
              <w:widowControl/>
              <w:adjustRightInd w:val="0"/>
              <w:snapToGrid w:val="0"/>
              <w:jc w:val="center"/>
              <w:rPr>
                <w:rFonts w:hint="eastAsia" w:ascii="宋体" w:hAnsi="宋体" w:eastAsia="宋体" w:cs="宋体"/>
                <w:color w:val="auto"/>
                <w:kern w:val="0"/>
                <w:sz w:val="24"/>
                <w:szCs w:val="24"/>
                <w:highlight w:val="none"/>
                <w:lang w:val="en-US" w:eastAsia="zh-CN"/>
              </w:rPr>
            </w:pPr>
          </w:p>
        </w:tc>
        <w:tc>
          <w:tcPr>
            <w:tcW w:w="2150" w:type="dxa"/>
            <w:vMerge w:val="continue"/>
            <w:vAlign w:val="center"/>
          </w:tcPr>
          <w:p w14:paraId="22A396E7">
            <w:pPr>
              <w:widowControl/>
              <w:adjustRightInd w:val="0"/>
              <w:snapToGrid w:val="0"/>
              <w:jc w:val="center"/>
              <w:rPr>
                <w:rFonts w:hint="eastAsia" w:ascii="宋体" w:hAnsi="宋体" w:eastAsia="宋体" w:cs="宋体"/>
                <w:color w:val="auto"/>
                <w:kern w:val="0"/>
                <w:sz w:val="24"/>
                <w:szCs w:val="24"/>
                <w:highlight w:val="none"/>
                <w:lang w:val="en-US" w:eastAsia="zh-CN"/>
              </w:rPr>
            </w:pPr>
          </w:p>
        </w:tc>
      </w:tr>
    </w:tbl>
    <w:p w14:paraId="67BC5229">
      <w:pP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具体服务不局限于上述需求一览表。应包括上述服务相关延伸服务及产品，类似升级服务及相关产品。</w:t>
      </w:r>
    </w:p>
    <w:p w14:paraId="1198BA6E">
      <w:pPr>
        <w:pStyle w:val="1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p w14:paraId="5E7CEB51">
      <w:pPr>
        <w:pStyle w:val="1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1.取得《国家电网有限公司集中规模招标采购供应商资质能力核实证明》</w:t>
      </w:r>
      <w:r>
        <w:rPr>
          <w:rFonts w:hint="eastAsia" w:ascii="宋体" w:hAnsi="宋体" w:eastAsia="宋体" w:cs="宋体"/>
          <w:color w:val="auto"/>
          <w:sz w:val="24"/>
          <w:szCs w:val="24"/>
          <w:highlight w:val="none"/>
          <w:lang w:eastAsia="zh-CN"/>
        </w:rPr>
        <w:t>或《国网智能科技股份有限公司集中规模招标采购供应商资质能力核实证明》</w:t>
      </w:r>
      <w:r>
        <w:rPr>
          <w:rFonts w:hint="eastAsia" w:ascii="宋体" w:hAnsi="宋体" w:eastAsia="宋体" w:cs="宋体"/>
          <w:color w:val="auto"/>
          <w:sz w:val="24"/>
          <w:szCs w:val="24"/>
          <w:highlight w:val="none"/>
        </w:rPr>
        <w:t>（以下简称《核实证明》）的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，应按要求使用该《核实证明》。《核实证明》含有的业绩、试验报告不能满足</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要求的，需要提供满足要求的业绩、试验报告等证明材料；未取得《核实证明》的，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需要提供对应支持证明材料。</w:t>
      </w:r>
    </w:p>
    <w:p w14:paraId="213CA6DF">
      <w:pPr>
        <w:rPr>
          <w:color w:val="auto"/>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中提供的证明材料复印件应复印清晰、可辨认且不得遮盖、涂抹，否则视为无效。</w:t>
      </w:r>
    </w:p>
    <w:sectPr>
      <w:headerReference r:id="rId3" w:type="default"/>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D00F0">
    <w:pPr>
      <w:pStyle w:val="5"/>
      <w:spacing w:line="14" w:lineRule="auto"/>
      <w:ind w:firstLine="240"/>
      <w:rPr>
        <w:sz w:val="12"/>
      </w:rPr>
    </w:pPr>
    <w:r>
      <w:rPr>
        <w:sz w:val="1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3F3EA2">
                          <w:pPr>
                            <w:pStyle w:val="7"/>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73F3EA2">
                    <w:pPr>
                      <w:pStyle w:val="7"/>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BBD1B">
    <w:pPr>
      <w:pStyle w:val="8"/>
      <w:pBdr>
        <w:bottom w:val="none" w:color="auto" w:sz="0" w:space="1"/>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170182C"/>
    <w:rsid w:val="072A73E8"/>
    <w:rsid w:val="07C21A3A"/>
    <w:rsid w:val="0CEE6D0E"/>
    <w:rsid w:val="0F4470AD"/>
    <w:rsid w:val="193404DC"/>
    <w:rsid w:val="1B730B17"/>
    <w:rsid w:val="1BB80A5E"/>
    <w:rsid w:val="1F76188B"/>
    <w:rsid w:val="26383E3D"/>
    <w:rsid w:val="27781AB8"/>
    <w:rsid w:val="2F492DAB"/>
    <w:rsid w:val="3A765A44"/>
    <w:rsid w:val="3BF8125D"/>
    <w:rsid w:val="419C597F"/>
    <w:rsid w:val="50072212"/>
    <w:rsid w:val="58E9369C"/>
    <w:rsid w:val="5A2D0062"/>
    <w:rsid w:val="66667B2B"/>
    <w:rsid w:val="6AC20441"/>
    <w:rsid w:val="7E0173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4">
    <w:name w:val="annotation text"/>
    <w:basedOn w:val="1"/>
    <w:qFormat/>
    <w:uiPriority w:val="0"/>
    <w:pPr>
      <w:jc w:val="left"/>
    </w:pPr>
  </w:style>
  <w:style w:type="paragraph" w:styleId="5">
    <w:name w:val="Body Text"/>
    <w:basedOn w:val="1"/>
    <w:next w:val="1"/>
    <w:autoRedefine/>
    <w:qFormat/>
    <w:uiPriority w:val="0"/>
    <w:pPr>
      <w:spacing w:after="120"/>
    </w:pPr>
    <w:rPr>
      <w:rFonts w:ascii="Times New Roman" w:hAnsi="Times New Roman"/>
      <w:szCs w:val="24"/>
    </w:rPr>
  </w:style>
  <w:style w:type="paragraph" w:styleId="6">
    <w:name w:val="Plain Text"/>
    <w:basedOn w:val="1"/>
    <w:autoRedefine/>
    <w:qFormat/>
    <w:uiPriority w:val="0"/>
    <w:rPr>
      <w:rFonts w:ascii="宋体" w:hAnsi="Courier New" w:cs="Courier New"/>
      <w:szCs w:val="21"/>
    </w:rPr>
  </w:style>
  <w:style w:type="paragraph" w:styleId="7">
    <w:name w:val="footer"/>
    <w:basedOn w:val="1"/>
    <w:autoRedefine/>
    <w:unhideWhenUsed/>
    <w:qFormat/>
    <w:uiPriority w:val="99"/>
    <w:pPr>
      <w:tabs>
        <w:tab w:val="center" w:pos="4153"/>
        <w:tab w:val="right" w:pos="8306"/>
      </w:tabs>
      <w:snapToGrid w:val="0"/>
      <w:jc w:val="left"/>
    </w:pPr>
    <w:rPr>
      <w:sz w:val="18"/>
      <w:szCs w:val="18"/>
    </w:rPr>
  </w:style>
  <w:style w:type="paragraph" w:styleId="8">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11">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2">
    <w:name w:val="No Spacing"/>
    <w:autoRedefine/>
    <w:qFormat/>
    <w:uiPriority w:val="1"/>
    <w:rPr>
      <w:rFonts w:ascii="宋体" w:hAnsi="宋体" w:eastAsia="宋体" w:cs="宋体"/>
      <w:kern w:val="0"/>
      <w:sz w:val="24"/>
      <w:szCs w:val="24"/>
      <w:lang w:val="en-US" w:eastAsia="zh-CN" w:bidi="ar-SA"/>
    </w:rPr>
  </w:style>
  <w:style w:type="paragraph" w:customStyle="1" w:styleId="13">
    <w:name w:val="正文文本2"/>
    <w:basedOn w:val="1"/>
    <w:autoRedefine/>
    <w:qFormat/>
    <w:uiPriority w:val="0"/>
    <w:pPr>
      <w:autoSpaceDE w:val="0"/>
      <w:autoSpaceDN w:val="0"/>
      <w:jc w:val="left"/>
    </w:pPr>
    <w:rPr>
      <w:rFonts w:ascii="宋体" w:hAnsi="宋体"/>
      <w:kern w:val="0"/>
      <w:sz w:val="20"/>
      <w:szCs w:val="21"/>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4900</Words>
  <Characters>5448</Characters>
  <Lines>0</Lines>
  <Paragraphs>0</Paragraphs>
  <TotalTime>5</TotalTime>
  <ScaleCrop>false</ScaleCrop>
  <LinksUpToDate>false</LinksUpToDate>
  <CharactersWithSpaces>5463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2024-08-27T09:53:00Z</dcterms:created>
  <dc:creator>DELL</dc:creator>
  <cp:lastModifiedBy>韩梅17660167329</cp:lastModifiedBy>
  <cp:lastPrinted>2025-04-25T00:58:00Z</cp:lastPrinted>
  <dcterms:modified xsi:type="dcterms:W3CDTF">2025-04-25T06:09:43Z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C4F9A50CF52D4AA19EF98F0FA69E086B_12</vt:lpwstr>
  </property>
  <property fmtid="{D5CDD505-2E9C-101B-9397-08002B2CF9AE}" pid="4" name="KSOTemplateDocerSaveRecord">
    <vt:lpwstr>eyJoZGlkIjoiNzcwY2M5NGVmY2Y5YTVkMTJmMzEwY2NlODY1MmIwYTMiLCJ1c2VySWQiOiI5NjA4MzkzNTgifQ==</vt:lpwstr>
  </property>
</Properties>
</file>