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B1B42A">
      <w:pPr>
        <w:widowControl/>
        <w:jc w:val="left"/>
        <w:rPr>
          <w:rFonts w:hint="eastAsia" w:asciiTheme="minorEastAsia" w:hAnsiTheme="minorEastAsia" w:eastAsiaTheme="minorEastAsia" w:cstheme="minorEastAsia"/>
          <w:b/>
          <w:bCs/>
          <w:color w:val="000000" w:themeColor="text1"/>
          <w:kern w:val="0"/>
          <w:sz w:val="24"/>
          <w:szCs w:val="24"/>
          <w:highlight w:val="none"/>
          <w14:textFill>
            <w14:solidFill>
              <w14:schemeClr w14:val="tx1"/>
            </w14:solidFill>
          </w14:textFill>
        </w:rPr>
      </w:pPr>
      <w:r>
        <w:rPr>
          <w:rFonts w:hint="eastAsia" w:asciiTheme="minorEastAsia" w:hAnsiTheme="minorEastAsia" w:eastAsiaTheme="minorEastAsia" w:cstheme="minorEastAsia"/>
          <w:b/>
          <w:bCs/>
          <w:color w:val="000000" w:themeColor="text1"/>
          <w:kern w:val="0"/>
          <w:sz w:val="24"/>
          <w:szCs w:val="24"/>
          <w:highlight w:val="none"/>
          <w14:textFill>
            <w14:solidFill>
              <w14:schemeClr w14:val="tx1"/>
            </w14:solidFill>
          </w14:textFill>
        </w:rPr>
        <w:t xml:space="preserve">附件1   </w:t>
      </w:r>
      <w:bookmarkStart w:id="0" w:name="_GoBack"/>
      <w:r>
        <w:rPr>
          <w:rFonts w:hint="eastAsia" w:asciiTheme="minorEastAsia" w:hAnsiTheme="minorEastAsia" w:eastAsiaTheme="minorEastAsia" w:cstheme="minorEastAsia"/>
          <w:b/>
          <w:bCs/>
          <w:color w:val="000000" w:themeColor="text1"/>
          <w:kern w:val="0"/>
          <w:sz w:val="24"/>
          <w:szCs w:val="24"/>
          <w:highlight w:val="none"/>
          <w14:textFill>
            <w14:solidFill>
              <w14:schemeClr w14:val="tx1"/>
            </w14:solidFill>
          </w14:textFill>
        </w:rPr>
        <w:t>招标需求一览</w:t>
      </w:r>
      <w:bookmarkEnd w:id="0"/>
    </w:p>
    <w:tbl>
      <w:tblPr>
        <w:tblStyle w:val="7"/>
        <w:tblW w:w="136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4"/>
        <w:gridCol w:w="1304"/>
        <w:gridCol w:w="2795"/>
        <w:gridCol w:w="495"/>
        <w:gridCol w:w="810"/>
        <w:gridCol w:w="900"/>
        <w:gridCol w:w="1290"/>
        <w:gridCol w:w="1245"/>
        <w:gridCol w:w="1710"/>
        <w:gridCol w:w="1862"/>
      </w:tblGrid>
      <w:tr w14:paraId="6A337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244" w:type="dxa"/>
            <w:vAlign w:val="center"/>
          </w:tcPr>
          <w:p w14:paraId="7F77A7D3">
            <w:pPr>
              <w:widowControl/>
              <w:jc w:val="center"/>
              <w:rPr>
                <w:rFonts w:hint="eastAsia" w:ascii="宋体" w:hAnsi="宋体" w:eastAsia="宋体" w:cs="宋体"/>
                <w:b/>
                <w:bCs/>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kern w:val="0"/>
                <w:sz w:val="24"/>
                <w:szCs w:val="24"/>
                <w:highlight w:val="none"/>
                <w14:textFill>
                  <w14:solidFill>
                    <w14:schemeClr w14:val="tx1"/>
                  </w14:solidFill>
                </w14:textFill>
              </w:rPr>
              <w:t>项目名称</w:t>
            </w:r>
          </w:p>
        </w:tc>
        <w:tc>
          <w:tcPr>
            <w:tcW w:w="1304" w:type="dxa"/>
            <w:shd w:val="clear" w:color="auto" w:fill="auto"/>
            <w:vAlign w:val="center"/>
          </w:tcPr>
          <w:p w14:paraId="0AD4DC60">
            <w:pPr>
              <w:widowControl/>
              <w:jc w:val="center"/>
              <w:rPr>
                <w:rFonts w:hint="eastAsia" w:ascii="宋体" w:hAnsi="宋体" w:eastAsia="宋体" w:cs="宋体"/>
                <w:b/>
                <w:bCs/>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kern w:val="0"/>
                <w:sz w:val="24"/>
                <w:szCs w:val="24"/>
                <w:highlight w:val="none"/>
                <w14:textFill>
                  <w14:solidFill>
                    <w14:schemeClr w14:val="tx1"/>
                  </w14:solidFill>
                </w14:textFill>
              </w:rPr>
              <w:t>物资名称</w:t>
            </w:r>
          </w:p>
        </w:tc>
        <w:tc>
          <w:tcPr>
            <w:tcW w:w="2795" w:type="dxa"/>
            <w:shd w:val="clear" w:color="auto" w:fill="auto"/>
            <w:vAlign w:val="center"/>
          </w:tcPr>
          <w:p w14:paraId="15EC7CDD">
            <w:pPr>
              <w:widowControl/>
              <w:jc w:val="center"/>
              <w:rPr>
                <w:rFonts w:hint="eastAsia" w:ascii="宋体" w:hAnsi="宋体" w:eastAsia="宋体" w:cs="宋体"/>
                <w:b/>
                <w:bCs/>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kern w:val="0"/>
                <w:sz w:val="24"/>
                <w:szCs w:val="24"/>
                <w:highlight w:val="none"/>
                <w14:textFill>
                  <w14:solidFill>
                    <w14:schemeClr w14:val="tx1"/>
                  </w14:solidFill>
                </w14:textFill>
              </w:rPr>
              <w:t>主要技术要求</w:t>
            </w:r>
          </w:p>
        </w:tc>
        <w:tc>
          <w:tcPr>
            <w:tcW w:w="495" w:type="dxa"/>
            <w:shd w:val="clear" w:color="auto" w:fill="auto"/>
            <w:vAlign w:val="center"/>
          </w:tcPr>
          <w:p w14:paraId="4EA38FBF">
            <w:pPr>
              <w:widowControl/>
              <w:jc w:val="center"/>
              <w:rPr>
                <w:rFonts w:hint="eastAsia" w:ascii="宋体" w:hAnsi="宋体" w:eastAsia="宋体" w:cs="宋体"/>
                <w:b/>
                <w:bCs/>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kern w:val="0"/>
                <w:sz w:val="24"/>
                <w:szCs w:val="24"/>
                <w:highlight w:val="none"/>
                <w14:textFill>
                  <w14:solidFill>
                    <w14:schemeClr w14:val="tx1"/>
                  </w14:solidFill>
                </w14:textFill>
              </w:rPr>
              <w:t>单位</w:t>
            </w:r>
          </w:p>
        </w:tc>
        <w:tc>
          <w:tcPr>
            <w:tcW w:w="810" w:type="dxa"/>
            <w:shd w:val="clear" w:color="auto" w:fill="auto"/>
            <w:vAlign w:val="center"/>
          </w:tcPr>
          <w:p w14:paraId="398ED84A">
            <w:pPr>
              <w:widowControl/>
              <w:jc w:val="center"/>
              <w:rPr>
                <w:rFonts w:hint="eastAsia" w:ascii="宋体" w:hAnsi="宋体" w:eastAsia="宋体" w:cs="宋体"/>
                <w:b/>
                <w:bCs/>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kern w:val="0"/>
                <w:sz w:val="24"/>
                <w:szCs w:val="24"/>
                <w:highlight w:val="none"/>
                <w14:textFill>
                  <w14:solidFill>
                    <w14:schemeClr w14:val="tx1"/>
                  </w14:solidFill>
                </w14:textFill>
              </w:rPr>
              <w:t>数量</w:t>
            </w:r>
          </w:p>
        </w:tc>
        <w:tc>
          <w:tcPr>
            <w:tcW w:w="900" w:type="dxa"/>
            <w:shd w:val="clear" w:color="auto" w:fill="auto"/>
            <w:vAlign w:val="center"/>
          </w:tcPr>
          <w:p w14:paraId="4BA075A1">
            <w:pPr>
              <w:widowControl/>
              <w:jc w:val="center"/>
              <w:rPr>
                <w:rFonts w:hint="eastAsia" w:ascii="宋体" w:hAnsi="宋体" w:eastAsia="宋体" w:cs="宋体"/>
                <w:b/>
                <w:bCs/>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kern w:val="0"/>
                <w:sz w:val="24"/>
                <w:szCs w:val="24"/>
                <w:highlight w:val="none"/>
                <w14:textFill>
                  <w14:solidFill>
                    <w14:schemeClr w14:val="tx1"/>
                  </w14:solidFill>
                </w14:textFill>
              </w:rPr>
              <w:t>交货日期</w:t>
            </w:r>
          </w:p>
        </w:tc>
        <w:tc>
          <w:tcPr>
            <w:tcW w:w="1290" w:type="dxa"/>
            <w:vAlign w:val="center"/>
          </w:tcPr>
          <w:p w14:paraId="7EFF0DC0">
            <w:pPr>
              <w:widowControl/>
              <w:jc w:val="center"/>
              <w:rPr>
                <w:rFonts w:hint="eastAsia" w:ascii="宋体" w:hAnsi="宋体" w:eastAsia="宋体" w:cs="宋体"/>
                <w:b/>
                <w:bCs/>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kern w:val="0"/>
                <w:sz w:val="24"/>
                <w:szCs w:val="24"/>
                <w:highlight w:val="none"/>
                <w14:textFill>
                  <w14:solidFill>
                    <w14:schemeClr w14:val="tx1"/>
                  </w14:solidFill>
                </w14:textFill>
              </w:rPr>
              <w:t>质保期</w:t>
            </w:r>
          </w:p>
        </w:tc>
        <w:tc>
          <w:tcPr>
            <w:tcW w:w="1245" w:type="dxa"/>
            <w:shd w:val="clear" w:color="auto" w:fill="auto"/>
            <w:vAlign w:val="center"/>
          </w:tcPr>
          <w:p w14:paraId="0E627BA2">
            <w:pPr>
              <w:widowControl/>
              <w:jc w:val="center"/>
              <w:rPr>
                <w:rFonts w:hint="eastAsia" w:ascii="宋体" w:hAnsi="宋体" w:eastAsia="宋体" w:cs="宋体"/>
                <w:b/>
                <w:bCs/>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kern w:val="0"/>
                <w:sz w:val="24"/>
                <w:szCs w:val="24"/>
                <w:highlight w:val="none"/>
                <w14:textFill>
                  <w14:solidFill>
                    <w14:schemeClr w14:val="tx1"/>
                  </w14:solidFill>
                </w14:textFill>
              </w:rPr>
              <w:t>交货地点</w:t>
            </w:r>
          </w:p>
        </w:tc>
        <w:tc>
          <w:tcPr>
            <w:tcW w:w="1710" w:type="dxa"/>
            <w:shd w:val="clear" w:color="auto" w:fill="auto"/>
            <w:vAlign w:val="center"/>
          </w:tcPr>
          <w:p w14:paraId="2E6E93B4">
            <w:pPr>
              <w:widowControl/>
              <w:jc w:val="center"/>
              <w:rPr>
                <w:rFonts w:hint="eastAsia" w:ascii="宋体" w:hAnsi="宋体" w:eastAsia="宋体" w:cs="宋体"/>
                <w:b/>
                <w:bCs/>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t>专用资格要求</w:t>
            </w:r>
          </w:p>
        </w:tc>
        <w:tc>
          <w:tcPr>
            <w:tcW w:w="1862" w:type="dxa"/>
            <w:shd w:val="clear" w:color="auto" w:fill="auto"/>
            <w:vAlign w:val="center"/>
          </w:tcPr>
          <w:p w14:paraId="709A3534">
            <w:pPr>
              <w:widowControl/>
              <w:jc w:val="center"/>
              <w:rPr>
                <w:rFonts w:hint="eastAsia" w:ascii="宋体" w:hAnsi="宋体" w:eastAsia="宋体" w:cs="宋体"/>
                <w:b/>
                <w:bCs/>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t>专用业绩要求</w:t>
            </w:r>
          </w:p>
        </w:tc>
      </w:tr>
      <w:tr w14:paraId="5EB9C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244" w:type="dxa"/>
            <w:vMerge w:val="restart"/>
            <w:vAlign w:val="center"/>
          </w:tcPr>
          <w:p w14:paraId="78595546">
            <w:pPr>
              <w:widowControl/>
              <w:jc w:val="center"/>
              <w:rPr>
                <w:rFonts w:hint="eastAsia" w:ascii="宋体" w:hAnsi="宋体" w:eastAsia="宋体" w:cs="宋体"/>
                <w:color w:val="000000" w:themeColor="text1"/>
                <w:kern w:val="0"/>
                <w:sz w:val="24"/>
                <w:szCs w:val="24"/>
                <w:highlight w:val="none"/>
                <w:lang w:eastAsia="zh-CN"/>
                <w14:textFill>
                  <w14:solidFill>
                    <w14:schemeClr w14:val="tx1"/>
                  </w14:solidFill>
                </w14:textFill>
              </w:rPr>
            </w:pPr>
            <w:r>
              <w:rPr>
                <w:rFonts w:hint="eastAsia" w:ascii="宋体" w:hAnsi="宋体" w:eastAsia="宋体" w:cs="宋体"/>
                <w:color w:val="000000" w:themeColor="text1"/>
                <w:kern w:val="0"/>
                <w:sz w:val="24"/>
                <w:szCs w:val="24"/>
                <w:highlight w:val="none"/>
                <w:lang w:eastAsia="zh-CN"/>
                <w14:textFill>
                  <w14:solidFill>
                    <w14:schemeClr w14:val="tx1"/>
                  </w14:solidFill>
                </w14:textFill>
              </w:rPr>
              <w:t>图形渲染单元、界面可视化模块等采购项目</w:t>
            </w:r>
          </w:p>
        </w:tc>
        <w:tc>
          <w:tcPr>
            <w:tcW w:w="1304" w:type="dxa"/>
            <w:shd w:val="clear" w:color="auto" w:fill="auto"/>
            <w:vAlign w:val="center"/>
          </w:tcPr>
          <w:p w14:paraId="36530400">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图形渲染单元</w:t>
            </w:r>
          </w:p>
        </w:tc>
        <w:tc>
          <w:tcPr>
            <w:tcW w:w="2795" w:type="dxa"/>
            <w:shd w:val="clear" w:color="auto" w:fill="auto"/>
            <w:vAlign w:val="center"/>
          </w:tcPr>
          <w:p w14:paraId="1163CFA1">
            <w:pPr>
              <w:keepNext w:val="0"/>
              <w:keepLines w:val="0"/>
              <w:widowControl/>
              <w:suppressLineNumbers w:val="0"/>
              <w:jc w:val="center"/>
              <w:textAlignment w:val="center"/>
              <w:rPr>
                <w:rFonts w:hint="eastAsia" w:ascii="宋体" w:hAnsi="宋体" w:eastAsia="宋体" w:cs="宋体"/>
                <w:kern w:val="0"/>
                <w:sz w:val="24"/>
                <w:szCs w:val="24"/>
                <w:highlight w:val="none"/>
              </w:rPr>
            </w:pPr>
            <w:r>
              <w:rPr>
                <w:rStyle w:val="13"/>
                <w:rFonts w:hint="eastAsia" w:ascii="宋体" w:hAnsi="宋体" w:eastAsia="宋体" w:cs="宋体"/>
                <w:sz w:val="24"/>
                <w:szCs w:val="24"/>
                <w:highlight w:val="none"/>
                <w:lang w:val="en-US" w:eastAsia="zh-CN" w:bidi="ar"/>
              </w:rPr>
              <w:t>输入电源：DC 220V±10%</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工作温度​：0-95℃（GPU结温，支持动态降频保护）</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视频接口：VGA/HDMI2.0，多屏支持：2-4屏同步输出</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 xml:space="preserve"> 视频流：≥60fps@1080p（HDMI 2.0）</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防护要求：防尘涂层、防潮PCB</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散热方式：风冷或水冷</w:t>
            </w:r>
          </w:p>
        </w:tc>
        <w:tc>
          <w:tcPr>
            <w:tcW w:w="495" w:type="dxa"/>
            <w:shd w:val="clear" w:color="000000" w:fill="FFFFFF"/>
            <w:vAlign w:val="center"/>
          </w:tcPr>
          <w:p w14:paraId="388E3F28">
            <w:pPr>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个</w:t>
            </w:r>
          </w:p>
        </w:tc>
        <w:tc>
          <w:tcPr>
            <w:tcW w:w="810" w:type="dxa"/>
            <w:shd w:val="clear" w:color="000000" w:fill="FFFFFF"/>
            <w:vAlign w:val="center"/>
          </w:tcPr>
          <w:p w14:paraId="46DD765A">
            <w:pPr>
              <w:keepNext w:val="0"/>
              <w:keepLines w:val="0"/>
              <w:widowControl/>
              <w:suppressLineNumbers w:val="0"/>
              <w:jc w:val="center"/>
              <w:textAlignment w:val="center"/>
              <w:rPr>
                <w:rFonts w:hint="eastAsia" w:ascii="宋体" w:hAnsi="宋体" w:eastAsia="宋体" w:cs="宋体"/>
                <w:color w:val="000000"/>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119</w:t>
            </w:r>
          </w:p>
        </w:tc>
        <w:tc>
          <w:tcPr>
            <w:tcW w:w="900" w:type="dxa"/>
            <w:shd w:val="clear" w:color="auto" w:fill="auto"/>
            <w:vAlign w:val="center"/>
          </w:tcPr>
          <w:p w14:paraId="2675DA00">
            <w:pPr>
              <w:widowControl/>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接供货通知后后</w:t>
            </w:r>
            <w:r>
              <w:rPr>
                <w:rFonts w:hint="eastAsia" w:ascii="宋体" w:hAnsi="宋体" w:eastAsia="宋体" w:cs="宋体"/>
                <w:kern w:val="0"/>
                <w:sz w:val="24"/>
                <w:szCs w:val="24"/>
                <w:highlight w:val="none"/>
                <w:u w:val="single"/>
              </w:rPr>
              <w:t>1</w:t>
            </w:r>
            <w:r>
              <w:rPr>
                <w:rFonts w:hint="eastAsia" w:ascii="宋体" w:hAnsi="宋体" w:eastAsia="宋体" w:cs="宋体"/>
                <w:kern w:val="0"/>
                <w:sz w:val="24"/>
                <w:szCs w:val="24"/>
                <w:highlight w:val="none"/>
                <w:u w:val="single"/>
                <w:lang w:val="en-US" w:eastAsia="zh-CN"/>
              </w:rPr>
              <w:t>5</w:t>
            </w:r>
            <w:r>
              <w:rPr>
                <w:rFonts w:hint="eastAsia" w:ascii="宋体" w:hAnsi="宋体" w:eastAsia="宋体" w:cs="宋体"/>
                <w:kern w:val="0"/>
                <w:sz w:val="24"/>
                <w:szCs w:val="24"/>
                <w:highlight w:val="none"/>
              </w:rPr>
              <w:t>日内</w:t>
            </w:r>
          </w:p>
        </w:tc>
        <w:tc>
          <w:tcPr>
            <w:tcW w:w="1290" w:type="dxa"/>
            <w:vAlign w:val="center"/>
          </w:tcPr>
          <w:p w14:paraId="0B769A2F">
            <w:pPr>
              <w:jc w:val="center"/>
              <w:rPr>
                <w:rFonts w:hint="eastAsia" w:ascii="宋体" w:hAnsi="宋体" w:eastAsia="宋体" w:cs="宋体"/>
                <w:color w:val="000000" w:themeColor="text1"/>
                <w:kern w:val="0"/>
                <w:sz w:val="24"/>
                <w:szCs w:val="24"/>
                <w:highlight w:val="none"/>
                <w:u w:val="single"/>
                <w14:textFill>
                  <w14:solidFill>
                    <w14:schemeClr w14:val="tx1"/>
                  </w14:solidFill>
                </w14:textFill>
              </w:rPr>
            </w:pPr>
            <w:r>
              <w:rPr>
                <w:rFonts w:hint="eastAsia" w:ascii="宋体" w:hAnsi="宋体" w:eastAsia="宋体" w:cs="宋体"/>
                <w:color w:val="000000" w:themeColor="text1"/>
                <w:kern w:val="0"/>
                <w:sz w:val="24"/>
                <w:szCs w:val="24"/>
                <w:highlight w:val="none"/>
                <w:u w:val="single"/>
                <w14:textFill>
                  <w14:solidFill>
                    <w14:schemeClr w14:val="tx1"/>
                  </w14:solidFill>
                </w14:textFill>
              </w:rPr>
              <w:t>36</w:t>
            </w:r>
            <w:r>
              <w:rPr>
                <w:rFonts w:hint="eastAsia" w:ascii="宋体" w:hAnsi="宋体" w:eastAsia="宋体" w:cs="宋体"/>
                <w:color w:val="000000" w:themeColor="text1"/>
                <w:kern w:val="0"/>
                <w:sz w:val="24"/>
                <w:szCs w:val="24"/>
                <w:highlight w:val="none"/>
                <w14:textFill>
                  <w14:solidFill>
                    <w14:schemeClr w14:val="tx1"/>
                  </w14:solidFill>
                </w14:textFill>
              </w:rPr>
              <w:t>个月</w:t>
            </w:r>
          </w:p>
        </w:tc>
        <w:tc>
          <w:tcPr>
            <w:tcW w:w="1245" w:type="dxa"/>
            <w:shd w:val="clear" w:color="auto" w:fill="auto"/>
            <w:vAlign w:val="center"/>
          </w:tcPr>
          <w:p w14:paraId="306A2EAD">
            <w:pPr>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买方指定地点</w:t>
            </w:r>
          </w:p>
        </w:tc>
        <w:tc>
          <w:tcPr>
            <w:tcW w:w="1710" w:type="dxa"/>
            <w:vMerge w:val="restart"/>
            <w:shd w:val="clear" w:color="auto" w:fill="auto"/>
            <w:vAlign w:val="center"/>
          </w:tcPr>
          <w:p w14:paraId="576FEECB">
            <w:pPr>
              <w:jc w:val="center"/>
              <w:rPr>
                <w:rFonts w:hint="eastAsia" w:ascii="宋体" w:hAnsi="宋体" w:eastAsia="宋体" w:cs="宋体"/>
                <w:color w:val="000000" w:themeColor="text1"/>
                <w:kern w:val="0"/>
                <w:sz w:val="24"/>
                <w:szCs w:val="24"/>
                <w:highlight w:val="none"/>
                <w:lang w:eastAsia="zh-CN"/>
                <w14:textFill>
                  <w14:solidFill>
                    <w14:schemeClr w14:val="tx1"/>
                  </w14:solidFill>
                </w14:textFill>
              </w:rPr>
            </w:pPr>
            <w:r>
              <w:rPr>
                <w:rFonts w:hint="eastAsia" w:ascii="宋体" w:hAnsi="宋体" w:eastAsia="宋体" w:cs="宋体"/>
                <w:kern w:val="0"/>
                <w:sz w:val="24"/>
                <w:szCs w:val="24"/>
                <w:highlight w:val="none"/>
              </w:rPr>
              <w:t>产品型式试验报告或检测报告或鉴定报告</w:t>
            </w:r>
            <w:r>
              <w:rPr>
                <w:rFonts w:hint="eastAsia" w:ascii="宋体" w:hAnsi="宋体" w:eastAsia="宋体" w:cs="宋体"/>
                <w:kern w:val="0"/>
                <w:sz w:val="24"/>
                <w:szCs w:val="24"/>
                <w:highlight w:val="none"/>
                <w:lang w:eastAsia="zh-CN"/>
              </w:rPr>
              <w:t>：</w:t>
            </w:r>
            <w:r>
              <w:rPr>
                <w:rFonts w:hint="eastAsia" w:ascii="宋体" w:hAnsi="宋体" w:eastAsia="宋体" w:cs="宋体"/>
                <w:kern w:val="0"/>
                <w:sz w:val="24"/>
                <w:szCs w:val="24"/>
                <w:highlight w:val="none"/>
              </w:rPr>
              <w:t>提供国家认可的第三方权威检测机构出具的具备CMA或CNAS认证的有效的压板监测装置试验报告；检测项至少包含外观、功能、高低温运行、电磁兼容</w:t>
            </w:r>
            <w:r>
              <w:rPr>
                <w:rFonts w:hint="eastAsia" w:ascii="宋体" w:hAnsi="宋体" w:cs="宋体"/>
                <w:kern w:val="0"/>
                <w:sz w:val="24"/>
                <w:szCs w:val="24"/>
                <w:highlight w:val="none"/>
                <w:lang w:eastAsia="zh-CN"/>
              </w:rPr>
              <w:t>。</w:t>
            </w:r>
          </w:p>
        </w:tc>
        <w:tc>
          <w:tcPr>
            <w:tcW w:w="1862" w:type="dxa"/>
            <w:vMerge w:val="restart"/>
            <w:shd w:val="clear" w:color="auto" w:fill="auto"/>
            <w:vAlign w:val="center"/>
          </w:tcPr>
          <w:p w14:paraId="5A89DE3D">
            <w:pPr>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kern w:val="0"/>
                <w:sz w:val="24"/>
                <w:szCs w:val="24"/>
                <w:highlight w:val="none"/>
              </w:rPr>
              <w:t>业绩要求</w:t>
            </w:r>
            <w:r>
              <w:rPr>
                <w:rFonts w:hint="eastAsia" w:ascii="宋体" w:hAnsi="宋体" w:eastAsia="宋体" w:cs="宋体"/>
                <w:kern w:val="0"/>
                <w:sz w:val="24"/>
                <w:szCs w:val="24"/>
                <w:highlight w:val="none"/>
                <w:lang w:eastAsia="zh-CN"/>
              </w:rPr>
              <w:t>：</w:t>
            </w:r>
            <w:r>
              <w:rPr>
                <w:rFonts w:hint="eastAsia" w:ascii="宋体" w:hAnsi="宋体" w:eastAsia="宋体" w:cs="宋体"/>
                <w:kern w:val="0"/>
                <w:sz w:val="24"/>
                <w:szCs w:val="24"/>
                <w:highlight w:val="none"/>
              </w:rPr>
              <w:t>202</w:t>
            </w:r>
            <w:r>
              <w:rPr>
                <w:rFonts w:hint="eastAsia" w:ascii="宋体" w:hAnsi="宋体" w:eastAsia="宋体" w:cs="宋体"/>
                <w:kern w:val="0"/>
                <w:sz w:val="24"/>
                <w:szCs w:val="24"/>
                <w:highlight w:val="none"/>
                <w:lang w:val="en-US" w:eastAsia="zh-CN"/>
              </w:rPr>
              <w:t>2</w:t>
            </w:r>
            <w:r>
              <w:rPr>
                <w:rFonts w:hint="eastAsia" w:ascii="宋体" w:hAnsi="宋体" w:eastAsia="宋体" w:cs="宋体"/>
                <w:kern w:val="0"/>
                <w:sz w:val="24"/>
                <w:szCs w:val="24"/>
                <w:highlight w:val="none"/>
              </w:rPr>
              <w:t>年</w:t>
            </w:r>
            <w:r>
              <w:rPr>
                <w:rFonts w:hint="eastAsia" w:ascii="宋体" w:hAnsi="宋体" w:eastAsia="宋体" w:cs="宋体"/>
                <w:kern w:val="0"/>
                <w:sz w:val="24"/>
                <w:szCs w:val="24"/>
                <w:highlight w:val="none"/>
                <w:lang w:val="en-US" w:eastAsia="zh-CN"/>
              </w:rPr>
              <w:t>1</w:t>
            </w:r>
            <w:r>
              <w:rPr>
                <w:rFonts w:hint="eastAsia" w:ascii="宋体" w:hAnsi="宋体" w:eastAsia="宋体" w:cs="宋体"/>
                <w:kern w:val="0"/>
                <w:sz w:val="24"/>
                <w:szCs w:val="24"/>
                <w:highlight w:val="none"/>
              </w:rPr>
              <w:t>月1日至招标公告发布前，投标方完成过变电站智能巡视系统或二次状态在线监测子站或保护信息子站</w:t>
            </w:r>
            <w:r>
              <w:rPr>
                <w:rFonts w:hint="eastAsia" w:ascii="宋体" w:hAnsi="宋体" w:eastAsia="宋体" w:cs="宋体"/>
                <w:kern w:val="0"/>
                <w:sz w:val="24"/>
                <w:szCs w:val="24"/>
                <w:highlight w:val="none"/>
                <w:lang w:val="en-US" w:eastAsia="zh-CN"/>
              </w:rPr>
              <w:t>或保护压板在线监测装置</w:t>
            </w:r>
            <w:r>
              <w:rPr>
                <w:rFonts w:hint="eastAsia" w:ascii="宋体" w:hAnsi="宋体" w:eastAsia="宋体" w:cs="宋体"/>
                <w:kern w:val="0"/>
                <w:sz w:val="24"/>
                <w:szCs w:val="24"/>
                <w:highlight w:val="none"/>
              </w:rPr>
              <w:t>销售业绩不少于2份，累计金额不少于</w:t>
            </w:r>
            <w:r>
              <w:rPr>
                <w:rFonts w:hint="eastAsia" w:ascii="宋体" w:hAnsi="宋体" w:eastAsia="宋体" w:cs="宋体"/>
                <w:kern w:val="0"/>
                <w:sz w:val="24"/>
                <w:szCs w:val="24"/>
                <w:highlight w:val="none"/>
                <w:lang w:val="en-US" w:eastAsia="zh-CN"/>
              </w:rPr>
              <w:t>350</w:t>
            </w:r>
            <w:r>
              <w:rPr>
                <w:rFonts w:hint="eastAsia" w:ascii="宋体" w:hAnsi="宋体" w:eastAsia="宋体" w:cs="宋体"/>
                <w:kern w:val="0"/>
                <w:sz w:val="24"/>
                <w:szCs w:val="24"/>
                <w:highlight w:val="none"/>
              </w:rPr>
              <w:t>万元。注：销售业绩必须提供对应的合同复印件。</w:t>
            </w:r>
          </w:p>
        </w:tc>
      </w:tr>
      <w:tr w14:paraId="61DC1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244" w:type="dxa"/>
            <w:vMerge w:val="continue"/>
            <w:vAlign w:val="center"/>
          </w:tcPr>
          <w:p w14:paraId="0B7ECE39">
            <w:pPr>
              <w:widowControl/>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304" w:type="dxa"/>
            <w:shd w:val="clear" w:color="auto" w:fill="auto"/>
            <w:vAlign w:val="center"/>
          </w:tcPr>
          <w:p w14:paraId="5144DD0D">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界面可视化模块</w:t>
            </w:r>
          </w:p>
        </w:tc>
        <w:tc>
          <w:tcPr>
            <w:tcW w:w="2795" w:type="dxa"/>
            <w:shd w:val="clear" w:color="auto" w:fill="auto"/>
            <w:vAlign w:val="center"/>
          </w:tcPr>
          <w:p w14:paraId="38AADC58">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输入电源：AC 220V±10%</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频率：50/60Hz</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视频输入：HDMI</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静态功耗：≤2W（熄屏待机）</w:t>
            </w:r>
          </w:p>
        </w:tc>
        <w:tc>
          <w:tcPr>
            <w:tcW w:w="495" w:type="dxa"/>
            <w:shd w:val="clear" w:color="000000" w:fill="FFFFFF"/>
            <w:vAlign w:val="center"/>
          </w:tcPr>
          <w:p w14:paraId="2DDB9C43">
            <w:pPr>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个</w:t>
            </w:r>
          </w:p>
        </w:tc>
        <w:tc>
          <w:tcPr>
            <w:tcW w:w="810" w:type="dxa"/>
            <w:shd w:val="clear" w:color="000000" w:fill="FFFFFF"/>
            <w:vAlign w:val="center"/>
          </w:tcPr>
          <w:p w14:paraId="0DD464A5">
            <w:pPr>
              <w:keepNext w:val="0"/>
              <w:keepLines w:val="0"/>
              <w:widowControl/>
              <w:suppressLineNumbers w:val="0"/>
              <w:jc w:val="center"/>
              <w:textAlignment w:val="center"/>
              <w:rPr>
                <w:rFonts w:hint="eastAsia" w:ascii="宋体" w:hAnsi="宋体" w:eastAsia="宋体" w:cs="宋体"/>
                <w:color w:val="00000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119</w:t>
            </w:r>
          </w:p>
        </w:tc>
        <w:tc>
          <w:tcPr>
            <w:tcW w:w="900" w:type="dxa"/>
            <w:shd w:val="clear" w:color="auto" w:fill="auto"/>
            <w:vAlign w:val="center"/>
          </w:tcPr>
          <w:p w14:paraId="226E88EE">
            <w:pPr>
              <w:widowControl/>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接供货通知后后</w:t>
            </w:r>
            <w:r>
              <w:rPr>
                <w:rFonts w:hint="eastAsia" w:ascii="宋体" w:hAnsi="宋体" w:eastAsia="宋体" w:cs="宋体"/>
                <w:kern w:val="0"/>
                <w:sz w:val="24"/>
                <w:szCs w:val="24"/>
                <w:highlight w:val="none"/>
                <w:u w:val="single"/>
              </w:rPr>
              <w:t>1</w:t>
            </w:r>
            <w:r>
              <w:rPr>
                <w:rFonts w:hint="eastAsia" w:ascii="宋体" w:hAnsi="宋体" w:eastAsia="宋体" w:cs="宋体"/>
                <w:kern w:val="0"/>
                <w:sz w:val="24"/>
                <w:szCs w:val="24"/>
                <w:highlight w:val="none"/>
                <w:u w:val="single"/>
                <w:lang w:val="en-US" w:eastAsia="zh-CN"/>
              </w:rPr>
              <w:t>5</w:t>
            </w:r>
            <w:r>
              <w:rPr>
                <w:rFonts w:hint="eastAsia" w:ascii="宋体" w:hAnsi="宋体" w:eastAsia="宋体" w:cs="宋体"/>
                <w:kern w:val="0"/>
                <w:sz w:val="24"/>
                <w:szCs w:val="24"/>
                <w:highlight w:val="none"/>
              </w:rPr>
              <w:t>日内</w:t>
            </w:r>
          </w:p>
        </w:tc>
        <w:tc>
          <w:tcPr>
            <w:tcW w:w="1290" w:type="dxa"/>
            <w:vAlign w:val="center"/>
          </w:tcPr>
          <w:p w14:paraId="46660BCC">
            <w:pPr>
              <w:jc w:val="center"/>
              <w:rPr>
                <w:rFonts w:hint="eastAsia" w:ascii="宋体" w:hAnsi="宋体" w:eastAsia="宋体" w:cs="宋体"/>
                <w:color w:val="000000" w:themeColor="text1"/>
                <w:kern w:val="0"/>
                <w:sz w:val="24"/>
                <w:szCs w:val="24"/>
                <w:highlight w:val="none"/>
                <w:u w:val="single"/>
                <w14:textFill>
                  <w14:solidFill>
                    <w14:schemeClr w14:val="tx1"/>
                  </w14:solidFill>
                </w14:textFill>
              </w:rPr>
            </w:pPr>
            <w:r>
              <w:rPr>
                <w:rFonts w:hint="eastAsia" w:ascii="宋体" w:hAnsi="宋体" w:eastAsia="宋体" w:cs="宋体"/>
                <w:color w:val="000000" w:themeColor="text1"/>
                <w:kern w:val="0"/>
                <w:sz w:val="24"/>
                <w:szCs w:val="24"/>
                <w:highlight w:val="none"/>
                <w:u w:val="single"/>
                <w14:textFill>
                  <w14:solidFill>
                    <w14:schemeClr w14:val="tx1"/>
                  </w14:solidFill>
                </w14:textFill>
              </w:rPr>
              <w:t>36</w:t>
            </w:r>
            <w:r>
              <w:rPr>
                <w:rFonts w:hint="eastAsia" w:ascii="宋体" w:hAnsi="宋体" w:eastAsia="宋体" w:cs="宋体"/>
                <w:color w:val="000000" w:themeColor="text1"/>
                <w:kern w:val="0"/>
                <w:sz w:val="24"/>
                <w:szCs w:val="24"/>
                <w:highlight w:val="none"/>
                <w14:textFill>
                  <w14:solidFill>
                    <w14:schemeClr w14:val="tx1"/>
                  </w14:solidFill>
                </w14:textFill>
              </w:rPr>
              <w:t>个月</w:t>
            </w:r>
          </w:p>
        </w:tc>
        <w:tc>
          <w:tcPr>
            <w:tcW w:w="1245" w:type="dxa"/>
            <w:shd w:val="clear" w:color="auto" w:fill="auto"/>
            <w:vAlign w:val="center"/>
          </w:tcPr>
          <w:p w14:paraId="75A3215D">
            <w:pPr>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买方指定地点</w:t>
            </w:r>
          </w:p>
        </w:tc>
        <w:tc>
          <w:tcPr>
            <w:tcW w:w="1710" w:type="dxa"/>
            <w:vMerge w:val="continue"/>
            <w:shd w:val="clear" w:color="auto" w:fill="auto"/>
            <w:vAlign w:val="center"/>
          </w:tcPr>
          <w:p w14:paraId="7D3FC8C7">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862" w:type="dxa"/>
            <w:vMerge w:val="continue"/>
            <w:shd w:val="clear" w:color="auto" w:fill="auto"/>
            <w:vAlign w:val="center"/>
          </w:tcPr>
          <w:p w14:paraId="1207F46F">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r>
      <w:tr w14:paraId="04B61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244" w:type="dxa"/>
            <w:vMerge w:val="continue"/>
            <w:vAlign w:val="center"/>
          </w:tcPr>
          <w:p w14:paraId="182151EA">
            <w:pPr>
              <w:widowControl/>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304" w:type="dxa"/>
            <w:shd w:val="clear" w:color="auto" w:fill="auto"/>
            <w:vAlign w:val="center"/>
          </w:tcPr>
          <w:p w14:paraId="18C07228">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操纵处理单元</w:t>
            </w:r>
          </w:p>
        </w:tc>
        <w:tc>
          <w:tcPr>
            <w:tcW w:w="2795" w:type="dxa"/>
            <w:shd w:val="clear" w:color="auto" w:fill="auto"/>
            <w:vAlign w:val="center"/>
          </w:tcPr>
          <w:p w14:paraId="3307B995">
            <w:pPr>
              <w:keepNext w:val="0"/>
              <w:keepLines w:val="0"/>
              <w:widowControl/>
              <w:suppressLineNumbers w:val="0"/>
              <w:jc w:val="center"/>
              <w:textAlignment w:val="center"/>
              <w:rPr>
                <w:rFonts w:hint="eastAsia" w:ascii="宋体" w:hAnsi="宋体" w:eastAsia="宋体" w:cs="宋体"/>
                <w:kern w:val="0"/>
                <w:sz w:val="24"/>
                <w:szCs w:val="24"/>
                <w:highlight w:val="none"/>
              </w:rPr>
            </w:pPr>
            <w:r>
              <w:rPr>
                <w:rStyle w:val="13"/>
                <w:rFonts w:hint="eastAsia" w:ascii="宋体" w:hAnsi="宋体" w:eastAsia="宋体" w:cs="宋体"/>
                <w:sz w:val="24"/>
                <w:szCs w:val="24"/>
                <w:highlight w:val="none"/>
                <w:lang w:val="en-US" w:eastAsia="zh-CN" w:bidi="ar"/>
              </w:rPr>
              <w:t>​输入电源​：DC 220V±10%</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两路以太网口</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存储8GB</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支持USB导出</w:t>
            </w:r>
          </w:p>
        </w:tc>
        <w:tc>
          <w:tcPr>
            <w:tcW w:w="495" w:type="dxa"/>
            <w:shd w:val="clear" w:color="000000" w:fill="FFFFFF"/>
            <w:vAlign w:val="center"/>
          </w:tcPr>
          <w:p w14:paraId="51D6C079">
            <w:pPr>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个</w:t>
            </w:r>
          </w:p>
        </w:tc>
        <w:tc>
          <w:tcPr>
            <w:tcW w:w="810" w:type="dxa"/>
            <w:shd w:val="clear" w:color="000000" w:fill="FFFFFF"/>
            <w:vAlign w:val="center"/>
          </w:tcPr>
          <w:p w14:paraId="1BA9DA44">
            <w:pPr>
              <w:keepNext w:val="0"/>
              <w:keepLines w:val="0"/>
              <w:widowControl/>
              <w:suppressLineNumbers w:val="0"/>
              <w:jc w:val="center"/>
              <w:textAlignment w:val="center"/>
              <w:rPr>
                <w:rFonts w:hint="eastAsia" w:ascii="宋体" w:hAnsi="宋体" w:eastAsia="宋体" w:cs="宋体"/>
                <w:color w:val="00000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119</w:t>
            </w:r>
          </w:p>
        </w:tc>
        <w:tc>
          <w:tcPr>
            <w:tcW w:w="900" w:type="dxa"/>
            <w:shd w:val="clear" w:color="auto" w:fill="auto"/>
            <w:vAlign w:val="center"/>
          </w:tcPr>
          <w:p w14:paraId="27B344A6">
            <w:pPr>
              <w:widowControl/>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接供货通知后后</w:t>
            </w:r>
            <w:r>
              <w:rPr>
                <w:rFonts w:hint="eastAsia" w:ascii="宋体" w:hAnsi="宋体" w:eastAsia="宋体" w:cs="宋体"/>
                <w:kern w:val="0"/>
                <w:sz w:val="24"/>
                <w:szCs w:val="24"/>
                <w:highlight w:val="none"/>
                <w:u w:val="single"/>
              </w:rPr>
              <w:t>1</w:t>
            </w:r>
            <w:r>
              <w:rPr>
                <w:rFonts w:hint="eastAsia" w:ascii="宋体" w:hAnsi="宋体" w:eastAsia="宋体" w:cs="宋体"/>
                <w:kern w:val="0"/>
                <w:sz w:val="24"/>
                <w:szCs w:val="24"/>
                <w:highlight w:val="none"/>
                <w:u w:val="single"/>
                <w:lang w:val="en-US" w:eastAsia="zh-CN"/>
              </w:rPr>
              <w:t>5</w:t>
            </w:r>
            <w:r>
              <w:rPr>
                <w:rFonts w:hint="eastAsia" w:ascii="宋体" w:hAnsi="宋体" w:eastAsia="宋体" w:cs="宋体"/>
                <w:kern w:val="0"/>
                <w:sz w:val="24"/>
                <w:szCs w:val="24"/>
                <w:highlight w:val="none"/>
              </w:rPr>
              <w:t>日内</w:t>
            </w:r>
          </w:p>
        </w:tc>
        <w:tc>
          <w:tcPr>
            <w:tcW w:w="1290" w:type="dxa"/>
            <w:vAlign w:val="center"/>
          </w:tcPr>
          <w:p w14:paraId="4630CE11">
            <w:pPr>
              <w:jc w:val="center"/>
              <w:rPr>
                <w:rFonts w:hint="eastAsia" w:ascii="宋体" w:hAnsi="宋体" w:eastAsia="宋体" w:cs="宋体"/>
                <w:color w:val="000000" w:themeColor="text1"/>
                <w:kern w:val="0"/>
                <w:sz w:val="24"/>
                <w:szCs w:val="24"/>
                <w:highlight w:val="none"/>
                <w:u w:val="single"/>
                <w14:textFill>
                  <w14:solidFill>
                    <w14:schemeClr w14:val="tx1"/>
                  </w14:solidFill>
                </w14:textFill>
              </w:rPr>
            </w:pPr>
            <w:r>
              <w:rPr>
                <w:rFonts w:hint="eastAsia" w:ascii="宋体" w:hAnsi="宋体" w:eastAsia="宋体" w:cs="宋体"/>
                <w:color w:val="000000" w:themeColor="text1"/>
                <w:kern w:val="0"/>
                <w:sz w:val="24"/>
                <w:szCs w:val="24"/>
                <w:highlight w:val="none"/>
                <w:u w:val="single"/>
                <w14:textFill>
                  <w14:solidFill>
                    <w14:schemeClr w14:val="tx1"/>
                  </w14:solidFill>
                </w14:textFill>
              </w:rPr>
              <w:t>36</w:t>
            </w:r>
            <w:r>
              <w:rPr>
                <w:rFonts w:hint="eastAsia" w:ascii="宋体" w:hAnsi="宋体" w:eastAsia="宋体" w:cs="宋体"/>
                <w:color w:val="000000" w:themeColor="text1"/>
                <w:kern w:val="0"/>
                <w:sz w:val="24"/>
                <w:szCs w:val="24"/>
                <w:highlight w:val="none"/>
                <w14:textFill>
                  <w14:solidFill>
                    <w14:schemeClr w14:val="tx1"/>
                  </w14:solidFill>
                </w14:textFill>
              </w:rPr>
              <w:t>个月</w:t>
            </w:r>
          </w:p>
        </w:tc>
        <w:tc>
          <w:tcPr>
            <w:tcW w:w="1245" w:type="dxa"/>
            <w:shd w:val="clear" w:color="auto" w:fill="auto"/>
            <w:vAlign w:val="center"/>
          </w:tcPr>
          <w:p w14:paraId="61EC1DDD">
            <w:pPr>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买方指定地点</w:t>
            </w:r>
          </w:p>
        </w:tc>
        <w:tc>
          <w:tcPr>
            <w:tcW w:w="1710" w:type="dxa"/>
            <w:vMerge w:val="continue"/>
            <w:shd w:val="clear" w:color="auto" w:fill="auto"/>
            <w:vAlign w:val="center"/>
          </w:tcPr>
          <w:p w14:paraId="72BD0C26">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862" w:type="dxa"/>
            <w:vMerge w:val="continue"/>
            <w:shd w:val="clear" w:color="auto" w:fill="auto"/>
            <w:vAlign w:val="center"/>
          </w:tcPr>
          <w:p w14:paraId="7CEC4798">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r>
      <w:tr w14:paraId="5B518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244" w:type="dxa"/>
            <w:vMerge w:val="continue"/>
            <w:vAlign w:val="center"/>
          </w:tcPr>
          <w:p w14:paraId="1017CFCC">
            <w:pPr>
              <w:widowControl/>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304" w:type="dxa"/>
            <w:shd w:val="clear" w:color="auto" w:fill="auto"/>
            <w:vAlign w:val="center"/>
          </w:tcPr>
          <w:p w14:paraId="544E2830">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命令控制模块</w:t>
            </w:r>
          </w:p>
        </w:tc>
        <w:tc>
          <w:tcPr>
            <w:tcW w:w="2795" w:type="dxa"/>
            <w:shd w:val="clear" w:color="auto" w:fill="auto"/>
            <w:vAlign w:val="center"/>
          </w:tcPr>
          <w:p w14:paraId="521DE1AC">
            <w:pPr>
              <w:keepNext w:val="0"/>
              <w:keepLines w:val="0"/>
              <w:widowControl/>
              <w:suppressLineNumbers w:val="0"/>
              <w:jc w:val="center"/>
              <w:textAlignment w:val="center"/>
              <w:rPr>
                <w:rFonts w:hint="eastAsia" w:ascii="宋体" w:hAnsi="宋体" w:eastAsia="宋体" w:cs="宋体"/>
                <w:kern w:val="0"/>
                <w:sz w:val="24"/>
                <w:szCs w:val="24"/>
                <w:highlight w:val="none"/>
              </w:rPr>
            </w:pPr>
            <w:r>
              <w:rPr>
                <w:rStyle w:val="13"/>
                <w:rFonts w:hint="eastAsia" w:ascii="宋体" w:hAnsi="宋体" w:eastAsia="宋体" w:cs="宋体"/>
                <w:sz w:val="24"/>
                <w:szCs w:val="24"/>
                <w:highlight w:val="none"/>
                <w:lang w:val="en-US" w:eastAsia="zh-CN" w:bidi="ar"/>
              </w:rPr>
              <w:t>两路RS485串口</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​存储日志​：内置8GB存储</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具备调试、配置接口</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控制指令：≤50ms端到端延迟（实时控制）</w:t>
            </w:r>
          </w:p>
        </w:tc>
        <w:tc>
          <w:tcPr>
            <w:tcW w:w="495" w:type="dxa"/>
            <w:shd w:val="clear" w:color="000000" w:fill="FFFFFF"/>
            <w:vAlign w:val="center"/>
          </w:tcPr>
          <w:p w14:paraId="593F5D88">
            <w:pPr>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个</w:t>
            </w:r>
          </w:p>
        </w:tc>
        <w:tc>
          <w:tcPr>
            <w:tcW w:w="810" w:type="dxa"/>
            <w:shd w:val="clear" w:color="000000" w:fill="FFFFFF"/>
            <w:vAlign w:val="center"/>
          </w:tcPr>
          <w:p w14:paraId="22D98D2E">
            <w:pPr>
              <w:keepNext w:val="0"/>
              <w:keepLines w:val="0"/>
              <w:widowControl/>
              <w:suppressLineNumbers w:val="0"/>
              <w:jc w:val="center"/>
              <w:textAlignment w:val="center"/>
              <w:rPr>
                <w:rFonts w:hint="eastAsia" w:ascii="宋体" w:hAnsi="宋体" w:eastAsia="宋体" w:cs="宋体"/>
                <w:color w:val="00000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119</w:t>
            </w:r>
          </w:p>
        </w:tc>
        <w:tc>
          <w:tcPr>
            <w:tcW w:w="900" w:type="dxa"/>
            <w:shd w:val="clear" w:color="auto" w:fill="auto"/>
            <w:vAlign w:val="center"/>
          </w:tcPr>
          <w:p w14:paraId="557422F6">
            <w:pPr>
              <w:widowControl/>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接供货通知后后</w:t>
            </w:r>
            <w:r>
              <w:rPr>
                <w:rFonts w:hint="eastAsia" w:ascii="宋体" w:hAnsi="宋体" w:eastAsia="宋体" w:cs="宋体"/>
                <w:kern w:val="0"/>
                <w:sz w:val="24"/>
                <w:szCs w:val="24"/>
                <w:highlight w:val="none"/>
                <w:u w:val="single"/>
              </w:rPr>
              <w:t>1</w:t>
            </w:r>
            <w:r>
              <w:rPr>
                <w:rFonts w:hint="eastAsia" w:ascii="宋体" w:hAnsi="宋体" w:eastAsia="宋体" w:cs="宋体"/>
                <w:kern w:val="0"/>
                <w:sz w:val="24"/>
                <w:szCs w:val="24"/>
                <w:highlight w:val="none"/>
                <w:u w:val="single"/>
                <w:lang w:val="en-US" w:eastAsia="zh-CN"/>
              </w:rPr>
              <w:t>5</w:t>
            </w:r>
            <w:r>
              <w:rPr>
                <w:rFonts w:hint="eastAsia" w:ascii="宋体" w:hAnsi="宋体" w:eastAsia="宋体" w:cs="宋体"/>
                <w:kern w:val="0"/>
                <w:sz w:val="24"/>
                <w:szCs w:val="24"/>
                <w:highlight w:val="none"/>
              </w:rPr>
              <w:t>日内</w:t>
            </w:r>
          </w:p>
        </w:tc>
        <w:tc>
          <w:tcPr>
            <w:tcW w:w="1290" w:type="dxa"/>
            <w:vAlign w:val="center"/>
          </w:tcPr>
          <w:p w14:paraId="0EB494A1">
            <w:pPr>
              <w:jc w:val="center"/>
              <w:rPr>
                <w:rFonts w:hint="eastAsia" w:ascii="宋体" w:hAnsi="宋体" w:eastAsia="宋体" w:cs="宋体"/>
                <w:color w:val="000000" w:themeColor="text1"/>
                <w:kern w:val="0"/>
                <w:sz w:val="24"/>
                <w:szCs w:val="24"/>
                <w:highlight w:val="none"/>
                <w:u w:val="single"/>
                <w14:textFill>
                  <w14:solidFill>
                    <w14:schemeClr w14:val="tx1"/>
                  </w14:solidFill>
                </w14:textFill>
              </w:rPr>
            </w:pPr>
            <w:r>
              <w:rPr>
                <w:rFonts w:hint="eastAsia" w:ascii="宋体" w:hAnsi="宋体" w:eastAsia="宋体" w:cs="宋体"/>
                <w:color w:val="000000" w:themeColor="text1"/>
                <w:kern w:val="0"/>
                <w:sz w:val="24"/>
                <w:szCs w:val="24"/>
                <w:highlight w:val="none"/>
                <w:u w:val="single"/>
                <w14:textFill>
                  <w14:solidFill>
                    <w14:schemeClr w14:val="tx1"/>
                  </w14:solidFill>
                </w14:textFill>
              </w:rPr>
              <w:t>36</w:t>
            </w:r>
            <w:r>
              <w:rPr>
                <w:rFonts w:hint="eastAsia" w:ascii="宋体" w:hAnsi="宋体" w:eastAsia="宋体" w:cs="宋体"/>
                <w:color w:val="000000" w:themeColor="text1"/>
                <w:kern w:val="0"/>
                <w:sz w:val="24"/>
                <w:szCs w:val="24"/>
                <w:highlight w:val="none"/>
                <w14:textFill>
                  <w14:solidFill>
                    <w14:schemeClr w14:val="tx1"/>
                  </w14:solidFill>
                </w14:textFill>
              </w:rPr>
              <w:t>个月</w:t>
            </w:r>
          </w:p>
        </w:tc>
        <w:tc>
          <w:tcPr>
            <w:tcW w:w="1245" w:type="dxa"/>
            <w:shd w:val="clear" w:color="auto" w:fill="auto"/>
            <w:vAlign w:val="center"/>
          </w:tcPr>
          <w:p w14:paraId="47A9CEDE">
            <w:pPr>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买方指定地点</w:t>
            </w:r>
          </w:p>
        </w:tc>
        <w:tc>
          <w:tcPr>
            <w:tcW w:w="1710" w:type="dxa"/>
            <w:vMerge w:val="continue"/>
            <w:shd w:val="clear" w:color="auto" w:fill="auto"/>
            <w:vAlign w:val="center"/>
          </w:tcPr>
          <w:p w14:paraId="7E639726">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862" w:type="dxa"/>
            <w:vMerge w:val="continue"/>
            <w:shd w:val="clear" w:color="auto" w:fill="auto"/>
            <w:vAlign w:val="center"/>
          </w:tcPr>
          <w:p w14:paraId="5E3AB0C3">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r>
      <w:tr w14:paraId="4DB51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244" w:type="dxa"/>
            <w:vMerge w:val="continue"/>
            <w:vAlign w:val="center"/>
          </w:tcPr>
          <w:p w14:paraId="3BC9D932">
            <w:pPr>
              <w:widowControl/>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304" w:type="dxa"/>
            <w:shd w:val="clear" w:color="auto" w:fill="auto"/>
            <w:vAlign w:val="center"/>
          </w:tcPr>
          <w:p w14:paraId="3CB66BE4">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讯息交流模块</w:t>
            </w:r>
          </w:p>
        </w:tc>
        <w:tc>
          <w:tcPr>
            <w:tcW w:w="2795" w:type="dxa"/>
            <w:shd w:val="clear" w:color="auto" w:fill="auto"/>
            <w:vAlign w:val="center"/>
          </w:tcPr>
          <w:p w14:paraId="2E12D8D1">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输入电源：DC 220V±10%</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集成以太网通信功能</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支持DLT860(61850)、IEC103通信规约</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支持cid模型文件导出</w:t>
            </w:r>
          </w:p>
        </w:tc>
        <w:tc>
          <w:tcPr>
            <w:tcW w:w="495" w:type="dxa"/>
            <w:shd w:val="clear" w:color="000000" w:fill="FFFFFF"/>
            <w:vAlign w:val="center"/>
          </w:tcPr>
          <w:p w14:paraId="30707F7C">
            <w:pPr>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个</w:t>
            </w:r>
          </w:p>
        </w:tc>
        <w:tc>
          <w:tcPr>
            <w:tcW w:w="810" w:type="dxa"/>
            <w:shd w:val="clear" w:color="000000" w:fill="FFFFFF"/>
            <w:vAlign w:val="center"/>
          </w:tcPr>
          <w:p w14:paraId="55589C90">
            <w:pPr>
              <w:keepNext w:val="0"/>
              <w:keepLines w:val="0"/>
              <w:widowControl/>
              <w:suppressLineNumbers w:val="0"/>
              <w:jc w:val="center"/>
              <w:textAlignment w:val="center"/>
              <w:rPr>
                <w:rFonts w:hint="eastAsia" w:ascii="宋体" w:hAnsi="宋体" w:eastAsia="宋体" w:cs="宋体"/>
                <w:color w:val="00000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119</w:t>
            </w:r>
          </w:p>
        </w:tc>
        <w:tc>
          <w:tcPr>
            <w:tcW w:w="900" w:type="dxa"/>
            <w:shd w:val="clear" w:color="auto" w:fill="auto"/>
            <w:vAlign w:val="center"/>
          </w:tcPr>
          <w:p w14:paraId="74ACE2AA">
            <w:pPr>
              <w:widowControl/>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接供货通知后后</w:t>
            </w:r>
            <w:r>
              <w:rPr>
                <w:rFonts w:hint="eastAsia" w:ascii="宋体" w:hAnsi="宋体" w:eastAsia="宋体" w:cs="宋体"/>
                <w:kern w:val="0"/>
                <w:sz w:val="24"/>
                <w:szCs w:val="24"/>
                <w:highlight w:val="none"/>
                <w:u w:val="single"/>
              </w:rPr>
              <w:t>1</w:t>
            </w:r>
            <w:r>
              <w:rPr>
                <w:rFonts w:hint="eastAsia" w:ascii="宋体" w:hAnsi="宋体" w:eastAsia="宋体" w:cs="宋体"/>
                <w:kern w:val="0"/>
                <w:sz w:val="24"/>
                <w:szCs w:val="24"/>
                <w:highlight w:val="none"/>
                <w:u w:val="single"/>
                <w:lang w:val="en-US" w:eastAsia="zh-CN"/>
              </w:rPr>
              <w:t>5</w:t>
            </w:r>
            <w:r>
              <w:rPr>
                <w:rFonts w:hint="eastAsia" w:ascii="宋体" w:hAnsi="宋体" w:eastAsia="宋体" w:cs="宋体"/>
                <w:kern w:val="0"/>
                <w:sz w:val="24"/>
                <w:szCs w:val="24"/>
                <w:highlight w:val="none"/>
              </w:rPr>
              <w:t>日内</w:t>
            </w:r>
          </w:p>
        </w:tc>
        <w:tc>
          <w:tcPr>
            <w:tcW w:w="1290" w:type="dxa"/>
            <w:vAlign w:val="center"/>
          </w:tcPr>
          <w:p w14:paraId="3BE79F9F">
            <w:pPr>
              <w:jc w:val="center"/>
              <w:rPr>
                <w:rFonts w:hint="eastAsia" w:ascii="宋体" w:hAnsi="宋体" w:eastAsia="宋体" w:cs="宋体"/>
                <w:color w:val="000000" w:themeColor="text1"/>
                <w:kern w:val="0"/>
                <w:sz w:val="24"/>
                <w:szCs w:val="24"/>
                <w:highlight w:val="none"/>
                <w:u w:val="single"/>
                <w14:textFill>
                  <w14:solidFill>
                    <w14:schemeClr w14:val="tx1"/>
                  </w14:solidFill>
                </w14:textFill>
              </w:rPr>
            </w:pPr>
            <w:r>
              <w:rPr>
                <w:rFonts w:hint="eastAsia" w:ascii="宋体" w:hAnsi="宋体" w:eastAsia="宋体" w:cs="宋体"/>
                <w:color w:val="000000" w:themeColor="text1"/>
                <w:kern w:val="0"/>
                <w:sz w:val="24"/>
                <w:szCs w:val="24"/>
                <w:highlight w:val="none"/>
                <w:u w:val="single"/>
                <w14:textFill>
                  <w14:solidFill>
                    <w14:schemeClr w14:val="tx1"/>
                  </w14:solidFill>
                </w14:textFill>
              </w:rPr>
              <w:t>36</w:t>
            </w:r>
            <w:r>
              <w:rPr>
                <w:rFonts w:hint="eastAsia" w:ascii="宋体" w:hAnsi="宋体" w:eastAsia="宋体" w:cs="宋体"/>
                <w:color w:val="000000" w:themeColor="text1"/>
                <w:kern w:val="0"/>
                <w:sz w:val="24"/>
                <w:szCs w:val="24"/>
                <w:highlight w:val="none"/>
                <w14:textFill>
                  <w14:solidFill>
                    <w14:schemeClr w14:val="tx1"/>
                  </w14:solidFill>
                </w14:textFill>
              </w:rPr>
              <w:t>个月</w:t>
            </w:r>
          </w:p>
        </w:tc>
        <w:tc>
          <w:tcPr>
            <w:tcW w:w="1245" w:type="dxa"/>
            <w:shd w:val="clear" w:color="auto" w:fill="auto"/>
            <w:vAlign w:val="center"/>
          </w:tcPr>
          <w:p w14:paraId="40E3A9D9">
            <w:pPr>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买方指定地点</w:t>
            </w:r>
          </w:p>
        </w:tc>
        <w:tc>
          <w:tcPr>
            <w:tcW w:w="1710" w:type="dxa"/>
            <w:vMerge w:val="continue"/>
            <w:shd w:val="clear" w:color="auto" w:fill="auto"/>
            <w:vAlign w:val="center"/>
          </w:tcPr>
          <w:p w14:paraId="59F08297">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862" w:type="dxa"/>
            <w:vMerge w:val="continue"/>
            <w:shd w:val="clear" w:color="auto" w:fill="auto"/>
            <w:vAlign w:val="center"/>
          </w:tcPr>
          <w:p w14:paraId="489F9D15">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r>
      <w:tr w14:paraId="560E5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244" w:type="dxa"/>
            <w:vMerge w:val="continue"/>
            <w:vAlign w:val="center"/>
          </w:tcPr>
          <w:p w14:paraId="51E03D21">
            <w:pPr>
              <w:widowControl/>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304" w:type="dxa"/>
            <w:shd w:val="clear" w:color="auto" w:fill="auto"/>
            <w:vAlign w:val="center"/>
          </w:tcPr>
          <w:p w14:paraId="61C53282">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信息传输单元</w:t>
            </w:r>
          </w:p>
        </w:tc>
        <w:tc>
          <w:tcPr>
            <w:tcW w:w="2795" w:type="dxa"/>
            <w:shd w:val="clear" w:color="auto" w:fill="auto"/>
            <w:vAlign w:val="center"/>
          </w:tcPr>
          <w:p w14:paraId="381E4CF5">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输入电源：DC 220V±10%</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频率：50/60Hz</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集成RS485串口通讯功能</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支持MODBUS通信规约</w:t>
            </w:r>
          </w:p>
        </w:tc>
        <w:tc>
          <w:tcPr>
            <w:tcW w:w="495" w:type="dxa"/>
            <w:shd w:val="clear" w:color="000000" w:fill="FFFFFF"/>
            <w:vAlign w:val="center"/>
          </w:tcPr>
          <w:p w14:paraId="5DCABB0C">
            <w:pPr>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个</w:t>
            </w:r>
          </w:p>
        </w:tc>
        <w:tc>
          <w:tcPr>
            <w:tcW w:w="810" w:type="dxa"/>
            <w:shd w:val="clear" w:color="000000" w:fill="FFFFFF"/>
            <w:vAlign w:val="center"/>
          </w:tcPr>
          <w:p w14:paraId="0B70C173">
            <w:pPr>
              <w:keepNext w:val="0"/>
              <w:keepLines w:val="0"/>
              <w:widowControl/>
              <w:suppressLineNumbers w:val="0"/>
              <w:jc w:val="center"/>
              <w:textAlignment w:val="center"/>
              <w:rPr>
                <w:rFonts w:hint="eastAsia" w:ascii="宋体" w:hAnsi="宋体" w:eastAsia="宋体" w:cs="宋体"/>
                <w:color w:val="00000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119</w:t>
            </w:r>
          </w:p>
        </w:tc>
        <w:tc>
          <w:tcPr>
            <w:tcW w:w="900" w:type="dxa"/>
            <w:shd w:val="clear" w:color="auto" w:fill="auto"/>
            <w:vAlign w:val="center"/>
          </w:tcPr>
          <w:p w14:paraId="546DCBFB">
            <w:pPr>
              <w:widowControl/>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接供货通知后后</w:t>
            </w:r>
            <w:r>
              <w:rPr>
                <w:rFonts w:hint="eastAsia" w:ascii="宋体" w:hAnsi="宋体" w:eastAsia="宋体" w:cs="宋体"/>
                <w:kern w:val="0"/>
                <w:sz w:val="24"/>
                <w:szCs w:val="24"/>
                <w:highlight w:val="none"/>
                <w:u w:val="single"/>
              </w:rPr>
              <w:t>1</w:t>
            </w:r>
            <w:r>
              <w:rPr>
                <w:rFonts w:hint="eastAsia" w:ascii="宋体" w:hAnsi="宋体" w:eastAsia="宋体" w:cs="宋体"/>
                <w:kern w:val="0"/>
                <w:sz w:val="24"/>
                <w:szCs w:val="24"/>
                <w:highlight w:val="none"/>
                <w:u w:val="single"/>
                <w:lang w:val="en-US" w:eastAsia="zh-CN"/>
              </w:rPr>
              <w:t>5</w:t>
            </w:r>
            <w:r>
              <w:rPr>
                <w:rFonts w:hint="eastAsia" w:ascii="宋体" w:hAnsi="宋体" w:eastAsia="宋体" w:cs="宋体"/>
                <w:kern w:val="0"/>
                <w:sz w:val="24"/>
                <w:szCs w:val="24"/>
                <w:highlight w:val="none"/>
              </w:rPr>
              <w:t>日内</w:t>
            </w:r>
          </w:p>
        </w:tc>
        <w:tc>
          <w:tcPr>
            <w:tcW w:w="1290" w:type="dxa"/>
            <w:vAlign w:val="center"/>
          </w:tcPr>
          <w:p w14:paraId="1C9DA531">
            <w:pPr>
              <w:jc w:val="center"/>
              <w:rPr>
                <w:rFonts w:hint="eastAsia" w:ascii="宋体" w:hAnsi="宋体" w:eastAsia="宋体" w:cs="宋体"/>
                <w:color w:val="000000" w:themeColor="text1"/>
                <w:kern w:val="0"/>
                <w:sz w:val="24"/>
                <w:szCs w:val="24"/>
                <w:highlight w:val="none"/>
                <w:u w:val="single"/>
                <w14:textFill>
                  <w14:solidFill>
                    <w14:schemeClr w14:val="tx1"/>
                  </w14:solidFill>
                </w14:textFill>
              </w:rPr>
            </w:pPr>
            <w:r>
              <w:rPr>
                <w:rFonts w:hint="eastAsia" w:ascii="宋体" w:hAnsi="宋体" w:eastAsia="宋体" w:cs="宋体"/>
                <w:color w:val="000000" w:themeColor="text1"/>
                <w:kern w:val="0"/>
                <w:sz w:val="24"/>
                <w:szCs w:val="24"/>
                <w:highlight w:val="none"/>
                <w:u w:val="single"/>
                <w14:textFill>
                  <w14:solidFill>
                    <w14:schemeClr w14:val="tx1"/>
                  </w14:solidFill>
                </w14:textFill>
              </w:rPr>
              <w:t>36</w:t>
            </w:r>
            <w:r>
              <w:rPr>
                <w:rFonts w:hint="eastAsia" w:ascii="宋体" w:hAnsi="宋体" w:eastAsia="宋体" w:cs="宋体"/>
                <w:color w:val="000000" w:themeColor="text1"/>
                <w:kern w:val="0"/>
                <w:sz w:val="24"/>
                <w:szCs w:val="24"/>
                <w:highlight w:val="none"/>
                <w14:textFill>
                  <w14:solidFill>
                    <w14:schemeClr w14:val="tx1"/>
                  </w14:solidFill>
                </w14:textFill>
              </w:rPr>
              <w:t>个月</w:t>
            </w:r>
          </w:p>
        </w:tc>
        <w:tc>
          <w:tcPr>
            <w:tcW w:w="1245" w:type="dxa"/>
            <w:shd w:val="clear" w:color="auto" w:fill="auto"/>
            <w:vAlign w:val="center"/>
          </w:tcPr>
          <w:p w14:paraId="311C204C">
            <w:pPr>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买方指定地点</w:t>
            </w:r>
          </w:p>
        </w:tc>
        <w:tc>
          <w:tcPr>
            <w:tcW w:w="1710" w:type="dxa"/>
            <w:vMerge w:val="continue"/>
            <w:shd w:val="clear" w:color="auto" w:fill="auto"/>
            <w:vAlign w:val="center"/>
          </w:tcPr>
          <w:p w14:paraId="62350D09">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862" w:type="dxa"/>
            <w:vMerge w:val="continue"/>
            <w:shd w:val="clear" w:color="auto" w:fill="auto"/>
            <w:vAlign w:val="center"/>
          </w:tcPr>
          <w:p w14:paraId="4FC8EF94">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r>
      <w:tr w14:paraId="1893A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244" w:type="dxa"/>
            <w:vMerge w:val="continue"/>
            <w:vAlign w:val="center"/>
          </w:tcPr>
          <w:p w14:paraId="7FB48BAF">
            <w:pPr>
              <w:widowControl/>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304" w:type="dxa"/>
            <w:shd w:val="clear" w:color="auto" w:fill="auto"/>
            <w:vAlign w:val="center"/>
          </w:tcPr>
          <w:p w14:paraId="049C9863">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能源维持模块</w:t>
            </w:r>
          </w:p>
        </w:tc>
        <w:tc>
          <w:tcPr>
            <w:tcW w:w="2795" w:type="dxa"/>
            <w:shd w:val="clear" w:color="auto" w:fill="auto"/>
            <w:vAlign w:val="center"/>
          </w:tcPr>
          <w:p w14:paraId="2C221FB2">
            <w:pPr>
              <w:keepNext w:val="0"/>
              <w:keepLines w:val="0"/>
              <w:widowControl/>
              <w:suppressLineNumbers w:val="0"/>
              <w:jc w:val="center"/>
              <w:textAlignment w:val="center"/>
              <w:rPr>
                <w:rFonts w:hint="eastAsia" w:ascii="宋体" w:hAnsi="宋体" w:eastAsia="宋体" w:cs="宋体"/>
                <w:kern w:val="0"/>
                <w:sz w:val="24"/>
                <w:szCs w:val="24"/>
                <w:highlight w:val="none"/>
              </w:rPr>
            </w:pPr>
            <w:r>
              <w:rPr>
                <w:rStyle w:val="13"/>
                <w:rFonts w:hint="eastAsia" w:ascii="宋体" w:hAnsi="宋体" w:eastAsia="宋体" w:cs="宋体"/>
                <w:sz w:val="24"/>
                <w:szCs w:val="24"/>
                <w:highlight w:val="none"/>
                <w:lang w:val="en-US" w:eastAsia="zh-CN" w:bidi="ar"/>
              </w:rPr>
              <w:t>电源：AC 85～264V</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电源输出：DC 24V</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工作环境温度: -10℃</w:t>
            </w:r>
            <w:r>
              <w:rPr>
                <w:rStyle w:val="14"/>
                <w:rFonts w:hint="eastAsia" w:ascii="宋体" w:hAnsi="宋体" w:eastAsia="宋体" w:cs="宋体"/>
                <w:sz w:val="24"/>
                <w:szCs w:val="24"/>
                <w:highlight w:val="none"/>
                <w:lang w:val="en-US" w:eastAsia="zh-CN" w:bidi="ar"/>
              </w:rPr>
              <w:t>〜</w:t>
            </w:r>
            <w:r>
              <w:rPr>
                <w:rStyle w:val="13"/>
                <w:rFonts w:hint="eastAsia" w:ascii="宋体" w:hAnsi="宋体" w:eastAsia="宋体" w:cs="宋体"/>
                <w:sz w:val="24"/>
                <w:szCs w:val="24"/>
                <w:highlight w:val="none"/>
                <w:lang w:val="en-US" w:eastAsia="zh-CN" w:bidi="ar"/>
              </w:rPr>
              <w:t>+ 55℃</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工作相对湿度:5%</w:t>
            </w:r>
            <w:r>
              <w:rPr>
                <w:rStyle w:val="14"/>
                <w:rFonts w:hint="eastAsia" w:ascii="宋体" w:hAnsi="宋体" w:eastAsia="宋体" w:cs="宋体"/>
                <w:sz w:val="24"/>
                <w:szCs w:val="24"/>
                <w:highlight w:val="none"/>
                <w:lang w:val="en-US" w:eastAsia="zh-CN" w:bidi="ar"/>
              </w:rPr>
              <w:t>〜</w:t>
            </w:r>
            <w:r>
              <w:rPr>
                <w:rStyle w:val="13"/>
                <w:rFonts w:hint="eastAsia" w:ascii="宋体" w:hAnsi="宋体" w:eastAsia="宋体" w:cs="宋体"/>
                <w:sz w:val="24"/>
                <w:szCs w:val="24"/>
                <w:highlight w:val="none"/>
                <w:lang w:val="en-US" w:eastAsia="zh-CN" w:bidi="ar"/>
              </w:rPr>
              <w:t>95%</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过载能力：支持120%短时过载(10分钟）</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保护：热保护、短路保护</w:t>
            </w:r>
          </w:p>
        </w:tc>
        <w:tc>
          <w:tcPr>
            <w:tcW w:w="495" w:type="dxa"/>
            <w:shd w:val="clear" w:color="000000" w:fill="FFFFFF"/>
            <w:vAlign w:val="center"/>
          </w:tcPr>
          <w:p w14:paraId="25C65BE9">
            <w:pPr>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个</w:t>
            </w:r>
          </w:p>
        </w:tc>
        <w:tc>
          <w:tcPr>
            <w:tcW w:w="810" w:type="dxa"/>
            <w:shd w:val="clear" w:color="000000" w:fill="FFFFFF"/>
            <w:vAlign w:val="center"/>
          </w:tcPr>
          <w:p w14:paraId="47C3B904">
            <w:pPr>
              <w:keepNext w:val="0"/>
              <w:keepLines w:val="0"/>
              <w:widowControl/>
              <w:suppressLineNumbers w:val="0"/>
              <w:jc w:val="center"/>
              <w:textAlignment w:val="center"/>
              <w:rPr>
                <w:rFonts w:hint="eastAsia" w:ascii="宋体" w:hAnsi="宋体" w:eastAsia="宋体" w:cs="宋体"/>
                <w:color w:val="00000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119</w:t>
            </w:r>
          </w:p>
        </w:tc>
        <w:tc>
          <w:tcPr>
            <w:tcW w:w="900" w:type="dxa"/>
            <w:shd w:val="clear" w:color="auto" w:fill="auto"/>
            <w:vAlign w:val="center"/>
          </w:tcPr>
          <w:p w14:paraId="378B9B61">
            <w:pPr>
              <w:widowControl/>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接供货通知后后</w:t>
            </w:r>
            <w:r>
              <w:rPr>
                <w:rFonts w:hint="eastAsia" w:ascii="宋体" w:hAnsi="宋体" w:eastAsia="宋体" w:cs="宋体"/>
                <w:kern w:val="0"/>
                <w:sz w:val="24"/>
                <w:szCs w:val="24"/>
                <w:highlight w:val="none"/>
                <w:u w:val="single"/>
              </w:rPr>
              <w:t>1</w:t>
            </w:r>
            <w:r>
              <w:rPr>
                <w:rFonts w:hint="eastAsia" w:ascii="宋体" w:hAnsi="宋体" w:eastAsia="宋体" w:cs="宋体"/>
                <w:kern w:val="0"/>
                <w:sz w:val="24"/>
                <w:szCs w:val="24"/>
                <w:highlight w:val="none"/>
                <w:u w:val="single"/>
                <w:lang w:val="en-US" w:eastAsia="zh-CN"/>
              </w:rPr>
              <w:t>5</w:t>
            </w:r>
            <w:r>
              <w:rPr>
                <w:rFonts w:hint="eastAsia" w:ascii="宋体" w:hAnsi="宋体" w:eastAsia="宋体" w:cs="宋体"/>
                <w:kern w:val="0"/>
                <w:sz w:val="24"/>
                <w:szCs w:val="24"/>
                <w:highlight w:val="none"/>
              </w:rPr>
              <w:t>日内</w:t>
            </w:r>
          </w:p>
        </w:tc>
        <w:tc>
          <w:tcPr>
            <w:tcW w:w="1290" w:type="dxa"/>
            <w:vAlign w:val="center"/>
          </w:tcPr>
          <w:p w14:paraId="12AAAFA6">
            <w:pPr>
              <w:jc w:val="center"/>
              <w:rPr>
                <w:rFonts w:hint="eastAsia" w:ascii="宋体" w:hAnsi="宋体" w:eastAsia="宋体" w:cs="宋体"/>
                <w:color w:val="000000" w:themeColor="text1"/>
                <w:kern w:val="0"/>
                <w:sz w:val="24"/>
                <w:szCs w:val="24"/>
                <w:highlight w:val="none"/>
                <w:u w:val="single"/>
                <w14:textFill>
                  <w14:solidFill>
                    <w14:schemeClr w14:val="tx1"/>
                  </w14:solidFill>
                </w14:textFill>
              </w:rPr>
            </w:pPr>
            <w:r>
              <w:rPr>
                <w:rFonts w:hint="eastAsia" w:ascii="宋体" w:hAnsi="宋体" w:eastAsia="宋体" w:cs="宋体"/>
                <w:color w:val="000000" w:themeColor="text1"/>
                <w:kern w:val="0"/>
                <w:sz w:val="24"/>
                <w:szCs w:val="24"/>
                <w:highlight w:val="none"/>
                <w:u w:val="single"/>
                <w14:textFill>
                  <w14:solidFill>
                    <w14:schemeClr w14:val="tx1"/>
                  </w14:solidFill>
                </w14:textFill>
              </w:rPr>
              <w:t>36</w:t>
            </w:r>
            <w:r>
              <w:rPr>
                <w:rFonts w:hint="eastAsia" w:ascii="宋体" w:hAnsi="宋体" w:eastAsia="宋体" w:cs="宋体"/>
                <w:color w:val="000000" w:themeColor="text1"/>
                <w:kern w:val="0"/>
                <w:sz w:val="24"/>
                <w:szCs w:val="24"/>
                <w:highlight w:val="none"/>
                <w14:textFill>
                  <w14:solidFill>
                    <w14:schemeClr w14:val="tx1"/>
                  </w14:solidFill>
                </w14:textFill>
              </w:rPr>
              <w:t>个月</w:t>
            </w:r>
          </w:p>
        </w:tc>
        <w:tc>
          <w:tcPr>
            <w:tcW w:w="1245" w:type="dxa"/>
            <w:shd w:val="clear" w:color="auto" w:fill="auto"/>
            <w:vAlign w:val="center"/>
          </w:tcPr>
          <w:p w14:paraId="1617AB45">
            <w:pPr>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买方指定地点</w:t>
            </w:r>
          </w:p>
        </w:tc>
        <w:tc>
          <w:tcPr>
            <w:tcW w:w="1710" w:type="dxa"/>
            <w:vMerge w:val="continue"/>
            <w:shd w:val="clear" w:color="auto" w:fill="auto"/>
            <w:vAlign w:val="center"/>
          </w:tcPr>
          <w:p w14:paraId="1D8B3BF0">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862" w:type="dxa"/>
            <w:vMerge w:val="continue"/>
            <w:shd w:val="clear" w:color="auto" w:fill="auto"/>
            <w:vAlign w:val="center"/>
          </w:tcPr>
          <w:p w14:paraId="2763CCDD">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r>
      <w:tr w14:paraId="27967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244" w:type="dxa"/>
            <w:vMerge w:val="continue"/>
            <w:vAlign w:val="center"/>
          </w:tcPr>
          <w:p w14:paraId="0793277D">
            <w:pPr>
              <w:widowControl/>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304" w:type="dxa"/>
            <w:shd w:val="clear" w:color="auto" w:fill="auto"/>
            <w:vAlign w:val="center"/>
          </w:tcPr>
          <w:p w14:paraId="3945443F">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配电模块</w:t>
            </w:r>
          </w:p>
        </w:tc>
        <w:tc>
          <w:tcPr>
            <w:tcW w:w="2795" w:type="dxa"/>
            <w:shd w:val="clear" w:color="auto" w:fill="auto"/>
            <w:vAlign w:val="center"/>
          </w:tcPr>
          <w:p w14:paraId="054F2BB8">
            <w:pPr>
              <w:keepNext w:val="0"/>
              <w:keepLines w:val="0"/>
              <w:widowControl/>
              <w:suppressLineNumbers w:val="0"/>
              <w:jc w:val="center"/>
              <w:textAlignment w:val="center"/>
              <w:rPr>
                <w:rFonts w:hint="eastAsia" w:ascii="宋体" w:hAnsi="宋体" w:eastAsia="宋体" w:cs="宋体"/>
                <w:kern w:val="0"/>
                <w:sz w:val="24"/>
                <w:szCs w:val="24"/>
                <w:highlight w:val="none"/>
              </w:rPr>
            </w:pPr>
            <w:r>
              <w:rPr>
                <w:rStyle w:val="13"/>
                <w:rFonts w:hint="eastAsia" w:ascii="宋体" w:hAnsi="宋体" w:eastAsia="宋体" w:cs="宋体"/>
                <w:sz w:val="24"/>
                <w:szCs w:val="24"/>
                <w:highlight w:val="none"/>
                <w:lang w:val="en-US" w:eastAsia="zh-CN" w:bidi="ar"/>
              </w:rPr>
              <w:t>电源输入：DC 125～373V</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电源输出：DC 24V</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工作环境温度: -25℃</w:t>
            </w:r>
            <w:r>
              <w:rPr>
                <w:rStyle w:val="14"/>
                <w:rFonts w:hint="eastAsia" w:ascii="宋体" w:hAnsi="宋体" w:eastAsia="宋体" w:cs="宋体"/>
                <w:sz w:val="24"/>
                <w:szCs w:val="24"/>
                <w:highlight w:val="none"/>
                <w:lang w:val="en-US" w:eastAsia="zh-CN" w:bidi="ar"/>
              </w:rPr>
              <w:t>〜</w:t>
            </w:r>
            <w:r>
              <w:rPr>
                <w:rStyle w:val="13"/>
                <w:rFonts w:hint="eastAsia" w:ascii="宋体" w:hAnsi="宋体" w:eastAsia="宋体" w:cs="宋体"/>
                <w:sz w:val="24"/>
                <w:szCs w:val="24"/>
                <w:highlight w:val="none"/>
                <w:lang w:val="en-US" w:eastAsia="zh-CN" w:bidi="ar"/>
              </w:rPr>
              <w:t>+ 55℃</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​工作环境湿度​：5%-95% RH（非凝露）</w:t>
            </w:r>
            <w:r>
              <w:rPr>
                <w:rStyle w:val="13"/>
                <w:rFonts w:hint="eastAsia" w:ascii="宋体" w:hAnsi="宋体" w:eastAsia="宋体" w:cs="宋体"/>
                <w:sz w:val="24"/>
                <w:szCs w:val="24"/>
                <w:highlight w:val="none"/>
                <w:lang w:val="en-US" w:eastAsia="zh-CN" w:bidi="ar"/>
              </w:rPr>
              <w:br w:type="textWrapping"/>
            </w:r>
            <w:r>
              <w:rPr>
                <w:rStyle w:val="13"/>
                <w:rFonts w:hint="eastAsia" w:ascii="宋体" w:hAnsi="宋体" w:eastAsia="宋体" w:cs="宋体"/>
                <w:sz w:val="24"/>
                <w:szCs w:val="24"/>
                <w:highlight w:val="none"/>
                <w:lang w:val="en-US" w:eastAsia="zh-CN" w:bidi="ar"/>
              </w:rPr>
              <w:t>安装方式​：导轨式（35mm标准导轨）、壁挂式</w:t>
            </w:r>
          </w:p>
        </w:tc>
        <w:tc>
          <w:tcPr>
            <w:tcW w:w="495" w:type="dxa"/>
            <w:shd w:val="clear" w:color="000000" w:fill="FFFFFF"/>
            <w:vAlign w:val="center"/>
          </w:tcPr>
          <w:p w14:paraId="728AC325">
            <w:pPr>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个</w:t>
            </w:r>
          </w:p>
        </w:tc>
        <w:tc>
          <w:tcPr>
            <w:tcW w:w="810" w:type="dxa"/>
            <w:shd w:val="clear" w:color="000000" w:fill="FFFFFF"/>
            <w:vAlign w:val="center"/>
          </w:tcPr>
          <w:p w14:paraId="4DCCBAF6">
            <w:pPr>
              <w:keepNext w:val="0"/>
              <w:keepLines w:val="0"/>
              <w:widowControl/>
              <w:suppressLineNumbers w:val="0"/>
              <w:jc w:val="center"/>
              <w:textAlignment w:val="center"/>
              <w:rPr>
                <w:rFonts w:hint="eastAsia" w:ascii="宋体" w:hAnsi="宋体" w:eastAsia="宋体" w:cs="宋体"/>
                <w:color w:val="00000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119</w:t>
            </w:r>
          </w:p>
        </w:tc>
        <w:tc>
          <w:tcPr>
            <w:tcW w:w="900" w:type="dxa"/>
            <w:shd w:val="clear" w:color="auto" w:fill="auto"/>
            <w:vAlign w:val="center"/>
          </w:tcPr>
          <w:p w14:paraId="77D9E6C1">
            <w:pPr>
              <w:widowControl/>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接供货通知后后</w:t>
            </w:r>
            <w:r>
              <w:rPr>
                <w:rFonts w:hint="eastAsia" w:ascii="宋体" w:hAnsi="宋体" w:eastAsia="宋体" w:cs="宋体"/>
                <w:kern w:val="0"/>
                <w:sz w:val="24"/>
                <w:szCs w:val="24"/>
                <w:highlight w:val="none"/>
                <w:u w:val="single"/>
              </w:rPr>
              <w:t>1</w:t>
            </w:r>
            <w:r>
              <w:rPr>
                <w:rFonts w:hint="eastAsia" w:ascii="宋体" w:hAnsi="宋体" w:eastAsia="宋体" w:cs="宋体"/>
                <w:kern w:val="0"/>
                <w:sz w:val="24"/>
                <w:szCs w:val="24"/>
                <w:highlight w:val="none"/>
                <w:u w:val="single"/>
                <w:lang w:val="en-US" w:eastAsia="zh-CN"/>
              </w:rPr>
              <w:t>5</w:t>
            </w:r>
            <w:r>
              <w:rPr>
                <w:rFonts w:hint="eastAsia" w:ascii="宋体" w:hAnsi="宋体" w:eastAsia="宋体" w:cs="宋体"/>
                <w:kern w:val="0"/>
                <w:sz w:val="24"/>
                <w:szCs w:val="24"/>
                <w:highlight w:val="none"/>
              </w:rPr>
              <w:t>日内</w:t>
            </w:r>
          </w:p>
        </w:tc>
        <w:tc>
          <w:tcPr>
            <w:tcW w:w="1290" w:type="dxa"/>
            <w:vAlign w:val="center"/>
          </w:tcPr>
          <w:p w14:paraId="4B7BF6F3">
            <w:pPr>
              <w:jc w:val="center"/>
              <w:rPr>
                <w:rFonts w:hint="eastAsia" w:ascii="宋体" w:hAnsi="宋体" w:eastAsia="宋体" w:cs="宋体"/>
                <w:color w:val="000000" w:themeColor="text1"/>
                <w:kern w:val="0"/>
                <w:sz w:val="24"/>
                <w:szCs w:val="24"/>
                <w:highlight w:val="none"/>
                <w:u w:val="single"/>
                <w14:textFill>
                  <w14:solidFill>
                    <w14:schemeClr w14:val="tx1"/>
                  </w14:solidFill>
                </w14:textFill>
              </w:rPr>
            </w:pPr>
            <w:r>
              <w:rPr>
                <w:rFonts w:hint="eastAsia" w:ascii="宋体" w:hAnsi="宋体" w:eastAsia="宋体" w:cs="宋体"/>
                <w:color w:val="000000" w:themeColor="text1"/>
                <w:kern w:val="0"/>
                <w:sz w:val="24"/>
                <w:szCs w:val="24"/>
                <w:highlight w:val="none"/>
                <w:u w:val="single"/>
                <w14:textFill>
                  <w14:solidFill>
                    <w14:schemeClr w14:val="tx1"/>
                  </w14:solidFill>
                </w14:textFill>
              </w:rPr>
              <w:t>36</w:t>
            </w:r>
            <w:r>
              <w:rPr>
                <w:rFonts w:hint="eastAsia" w:ascii="宋体" w:hAnsi="宋体" w:eastAsia="宋体" w:cs="宋体"/>
                <w:color w:val="000000" w:themeColor="text1"/>
                <w:kern w:val="0"/>
                <w:sz w:val="24"/>
                <w:szCs w:val="24"/>
                <w:highlight w:val="none"/>
                <w14:textFill>
                  <w14:solidFill>
                    <w14:schemeClr w14:val="tx1"/>
                  </w14:solidFill>
                </w14:textFill>
              </w:rPr>
              <w:t>个月</w:t>
            </w:r>
          </w:p>
        </w:tc>
        <w:tc>
          <w:tcPr>
            <w:tcW w:w="1245" w:type="dxa"/>
            <w:shd w:val="clear" w:color="auto" w:fill="auto"/>
            <w:vAlign w:val="center"/>
          </w:tcPr>
          <w:p w14:paraId="2AF1CBE9">
            <w:pPr>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买方指定地点</w:t>
            </w:r>
          </w:p>
        </w:tc>
        <w:tc>
          <w:tcPr>
            <w:tcW w:w="1710" w:type="dxa"/>
            <w:vMerge w:val="continue"/>
            <w:shd w:val="clear" w:color="auto" w:fill="auto"/>
            <w:vAlign w:val="center"/>
          </w:tcPr>
          <w:p w14:paraId="2F293067">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862" w:type="dxa"/>
            <w:vMerge w:val="continue"/>
            <w:shd w:val="clear" w:color="auto" w:fill="auto"/>
            <w:vAlign w:val="center"/>
          </w:tcPr>
          <w:p w14:paraId="1DA26E2A">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r>
      <w:tr w14:paraId="68EEB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244" w:type="dxa"/>
            <w:vMerge w:val="continue"/>
            <w:vAlign w:val="center"/>
          </w:tcPr>
          <w:p w14:paraId="16C1C537">
            <w:pPr>
              <w:widowControl/>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304" w:type="dxa"/>
            <w:shd w:val="clear" w:color="auto" w:fill="auto"/>
            <w:vAlign w:val="center"/>
          </w:tcPr>
          <w:p w14:paraId="330DB3F0">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线缆数据中转站通信模组</w:t>
            </w:r>
          </w:p>
        </w:tc>
        <w:tc>
          <w:tcPr>
            <w:tcW w:w="2795" w:type="dxa"/>
            <w:shd w:val="clear" w:color="auto" w:fill="auto"/>
            <w:vAlign w:val="center"/>
          </w:tcPr>
          <w:p w14:paraId="2178C301">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电源：DC 220V±10%；</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支持传输介质：双绞线、以太网6类网线</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转发模式：存储转发（CRC校验）/ 直通转发（低延迟）</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安装：导轨式安装；最大功耗&lt;20W</w:t>
            </w:r>
          </w:p>
        </w:tc>
        <w:tc>
          <w:tcPr>
            <w:tcW w:w="495" w:type="dxa"/>
            <w:shd w:val="clear" w:color="000000" w:fill="FFFFFF"/>
            <w:vAlign w:val="center"/>
          </w:tcPr>
          <w:p w14:paraId="6D2DBE7A">
            <w:pPr>
              <w:jc w:val="center"/>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个</w:t>
            </w:r>
          </w:p>
        </w:tc>
        <w:tc>
          <w:tcPr>
            <w:tcW w:w="810" w:type="dxa"/>
            <w:shd w:val="clear" w:color="000000" w:fill="FFFFFF"/>
            <w:vAlign w:val="center"/>
          </w:tcPr>
          <w:p w14:paraId="45CC72C1">
            <w:pPr>
              <w:keepNext w:val="0"/>
              <w:keepLines w:val="0"/>
              <w:widowControl/>
              <w:suppressLineNumbers w:val="0"/>
              <w:jc w:val="center"/>
              <w:textAlignment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1071</w:t>
            </w:r>
          </w:p>
        </w:tc>
        <w:tc>
          <w:tcPr>
            <w:tcW w:w="900" w:type="dxa"/>
            <w:shd w:val="clear" w:color="auto" w:fill="auto"/>
            <w:vAlign w:val="center"/>
          </w:tcPr>
          <w:p w14:paraId="0BBBD782">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rPr>
              <w:t>接供货通知后后</w:t>
            </w:r>
            <w:r>
              <w:rPr>
                <w:rFonts w:hint="eastAsia" w:ascii="宋体" w:hAnsi="宋体" w:eastAsia="宋体" w:cs="宋体"/>
                <w:kern w:val="0"/>
                <w:sz w:val="24"/>
                <w:szCs w:val="24"/>
                <w:highlight w:val="none"/>
                <w:u w:val="single"/>
              </w:rPr>
              <w:t>1</w:t>
            </w:r>
            <w:r>
              <w:rPr>
                <w:rFonts w:hint="eastAsia" w:ascii="宋体" w:hAnsi="宋体" w:eastAsia="宋体" w:cs="宋体"/>
                <w:kern w:val="0"/>
                <w:sz w:val="24"/>
                <w:szCs w:val="24"/>
                <w:highlight w:val="none"/>
                <w:u w:val="single"/>
                <w:lang w:val="en-US" w:eastAsia="zh-CN"/>
              </w:rPr>
              <w:t>5</w:t>
            </w:r>
            <w:r>
              <w:rPr>
                <w:rFonts w:hint="eastAsia" w:ascii="宋体" w:hAnsi="宋体" w:eastAsia="宋体" w:cs="宋体"/>
                <w:kern w:val="0"/>
                <w:sz w:val="24"/>
                <w:szCs w:val="24"/>
                <w:highlight w:val="none"/>
              </w:rPr>
              <w:t>日内</w:t>
            </w:r>
          </w:p>
        </w:tc>
        <w:tc>
          <w:tcPr>
            <w:tcW w:w="1290" w:type="dxa"/>
            <w:shd w:val="clear" w:color="auto" w:fill="auto"/>
            <w:vAlign w:val="center"/>
          </w:tcPr>
          <w:p w14:paraId="0D1DC9C4">
            <w:pPr>
              <w:jc w:val="center"/>
              <w:rPr>
                <w:rFonts w:hint="eastAsia" w:ascii="宋体" w:hAnsi="宋体" w:eastAsia="宋体" w:cs="宋体"/>
                <w:color w:val="000000" w:themeColor="text1"/>
                <w:kern w:val="0"/>
                <w:sz w:val="24"/>
                <w:szCs w:val="24"/>
                <w:highlight w:val="none"/>
                <w:u w:val="singl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u w:val="single"/>
                <w14:textFill>
                  <w14:solidFill>
                    <w14:schemeClr w14:val="tx1"/>
                  </w14:solidFill>
                </w14:textFill>
              </w:rPr>
              <w:t>36</w:t>
            </w:r>
            <w:r>
              <w:rPr>
                <w:rFonts w:hint="eastAsia" w:ascii="宋体" w:hAnsi="宋体" w:eastAsia="宋体" w:cs="宋体"/>
                <w:color w:val="000000" w:themeColor="text1"/>
                <w:kern w:val="0"/>
                <w:sz w:val="24"/>
                <w:szCs w:val="24"/>
                <w:highlight w:val="none"/>
                <w14:textFill>
                  <w14:solidFill>
                    <w14:schemeClr w14:val="tx1"/>
                  </w14:solidFill>
                </w14:textFill>
              </w:rPr>
              <w:t>个月</w:t>
            </w:r>
          </w:p>
        </w:tc>
        <w:tc>
          <w:tcPr>
            <w:tcW w:w="1245" w:type="dxa"/>
            <w:shd w:val="clear" w:color="auto" w:fill="auto"/>
            <w:vAlign w:val="center"/>
          </w:tcPr>
          <w:p w14:paraId="02EE6D06">
            <w:pPr>
              <w:jc w:val="center"/>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买方指定地点</w:t>
            </w:r>
          </w:p>
        </w:tc>
        <w:tc>
          <w:tcPr>
            <w:tcW w:w="1710" w:type="dxa"/>
            <w:vMerge w:val="continue"/>
            <w:shd w:val="clear" w:color="auto" w:fill="auto"/>
            <w:vAlign w:val="center"/>
          </w:tcPr>
          <w:p w14:paraId="2E473881">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862" w:type="dxa"/>
            <w:vMerge w:val="continue"/>
            <w:shd w:val="clear" w:color="auto" w:fill="auto"/>
            <w:vAlign w:val="center"/>
          </w:tcPr>
          <w:p w14:paraId="1EA5EF90">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r>
      <w:tr w14:paraId="59FFD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244" w:type="dxa"/>
            <w:vMerge w:val="continue"/>
            <w:vAlign w:val="center"/>
          </w:tcPr>
          <w:p w14:paraId="1C102E33">
            <w:pPr>
              <w:widowControl/>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304" w:type="dxa"/>
            <w:shd w:val="clear" w:color="auto" w:fill="auto"/>
            <w:vAlign w:val="center"/>
          </w:tcPr>
          <w:p w14:paraId="268287F5">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线缆数据中转站外壳</w:t>
            </w:r>
          </w:p>
        </w:tc>
        <w:tc>
          <w:tcPr>
            <w:tcW w:w="2795" w:type="dxa"/>
            <w:shd w:val="clear" w:color="auto" w:fill="auto"/>
            <w:vAlign w:val="center"/>
          </w:tcPr>
          <w:p w14:paraId="30A7C996">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适配线缆数据中转站通信模组，采用耐腐蚀耐老化的绝缘阻燃塑料材质，外壳应有足够的强度，外物撞击造成的变形不应影响其正常，应符合GB/T 5169.11—2017的阻燃要求，工作尺寸：168mm *70mm *45mm，</w:t>
            </w:r>
          </w:p>
        </w:tc>
        <w:tc>
          <w:tcPr>
            <w:tcW w:w="495" w:type="dxa"/>
            <w:shd w:val="clear" w:color="000000" w:fill="FFFFFF"/>
            <w:vAlign w:val="center"/>
          </w:tcPr>
          <w:p w14:paraId="29F346D2">
            <w:pPr>
              <w:jc w:val="center"/>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个</w:t>
            </w:r>
          </w:p>
        </w:tc>
        <w:tc>
          <w:tcPr>
            <w:tcW w:w="810" w:type="dxa"/>
            <w:shd w:val="clear" w:color="000000" w:fill="FFFFFF"/>
            <w:vAlign w:val="center"/>
          </w:tcPr>
          <w:p w14:paraId="356AE123">
            <w:pPr>
              <w:keepNext w:val="0"/>
              <w:keepLines w:val="0"/>
              <w:widowControl/>
              <w:suppressLineNumbers w:val="0"/>
              <w:jc w:val="center"/>
              <w:textAlignment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1071</w:t>
            </w:r>
          </w:p>
        </w:tc>
        <w:tc>
          <w:tcPr>
            <w:tcW w:w="900" w:type="dxa"/>
            <w:shd w:val="clear" w:color="auto" w:fill="auto"/>
            <w:vAlign w:val="center"/>
          </w:tcPr>
          <w:p w14:paraId="242F26E2">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rPr>
              <w:t>接供货通知后后</w:t>
            </w:r>
            <w:r>
              <w:rPr>
                <w:rFonts w:hint="eastAsia" w:ascii="宋体" w:hAnsi="宋体" w:eastAsia="宋体" w:cs="宋体"/>
                <w:kern w:val="0"/>
                <w:sz w:val="24"/>
                <w:szCs w:val="24"/>
                <w:highlight w:val="none"/>
                <w:u w:val="single"/>
              </w:rPr>
              <w:t>1</w:t>
            </w:r>
            <w:r>
              <w:rPr>
                <w:rFonts w:hint="eastAsia" w:ascii="宋体" w:hAnsi="宋体" w:eastAsia="宋体" w:cs="宋体"/>
                <w:kern w:val="0"/>
                <w:sz w:val="24"/>
                <w:szCs w:val="24"/>
                <w:highlight w:val="none"/>
                <w:u w:val="single"/>
                <w:lang w:val="en-US" w:eastAsia="zh-CN"/>
              </w:rPr>
              <w:t>5</w:t>
            </w:r>
            <w:r>
              <w:rPr>
                <w:rFonts w:hint="eastAsia" w:ascii="宋体" w:hAnsi="宋体" w:eastAsia="宋体" w:cs="宋体"/>
                <w:kern w:val="0"/>
                <w:sz w:val="24"/>
                <w:szCs w:val="24"/>
                <w:highlight w:val="none"/>
              </w:rPr>
              <w:t>日内</w:t>
            </w:r>
          </w:p>
        </w:tc>
        <w:tc>
          <w:tcPr>
            <w:tcW w:w="1290" w:type="dxa"/>
            <w:shd w:val="clear" w:color="auto" w:fill="auto"/>
            <w:vAlign w:val="center"/>
          </w:tcPr>
          <w:p w14:paraId="7F3EDCDA">
            <w:pPr>
              <w:jc w:val="center"/>
              <w:rPr>
                <w:rFonts w:hint="eastAsia" w:ascii="宋体" w:hAnsi="宋体" w:eastAsia="宋体" w:cs="宋体"/>
                <w:color w:val="000000" w:themeColor="text1"/>
                <w:kern w:val="0"/>
                <w:sz w:val="24"/>
                <w:szCs w:val="24"/>
                <w:highlight w:val="none"/>
                <w:u w:val="singl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u w:val="single"/>
                <w14:textFill>
                  <w14:solidFill>
                    <w14:schemeClr w14:val="tx1"/>
                  </w14:solidFill>
                </w14:textFill>
              </w:rPr>
              <w:t>36</w:t>
            </w:r>
            <w:r>
              <w:rPr>
                <w:rFonts w:hint="eastAsia" w:ascii="宋体" w:hAnsi="宋体" w:eastAsia="宋体" w:cs="宋体"/>
                <w:color w:val="000000" w:themeColor="text1"/>
                <w:kern w:val="0"/>
                <w:sz w:val="24"/>
                <w:szCs w:val="24"/>
                <w:highlight w:val="none"/>
                <w14:textFill>
                  <w14:solidFill>
                    <w14:schemeClr w14:val="tx1"/>
                  </w14:solidFill>
                </w14:textFill>
              </w:rPr>
              <w:t>个月</w:t>
            </w:r>
          </w:p>
        </w:tc>
        <w:tc>
          <w:tcPr>
            <w:tcW w:w="1245" w:type="dxa"/>
            <w:shd w:val="clear" w:color="auto" w:fill="auto"/>
            <w:vAlign w:val="center"/>
          </w:tcPr>
          <w:p w14:paraId="09302C1D">
            <w:pPr>
              <w:jc w:val="center"/>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买方指定地点</w:t>
            </w:r>
          </w:p>
        </w:tc>
        <w:tc>
          <w:tcPr>
            <w:tcW w:w="1710" w:type="dxa"/>
            <w:vMerge w:val="continue"/>
            <w:shd w:val="clear" w:color="auto" w:fill="auto"/>
            <w:vAlign w:val="center"/>
          </w:tcPr>
          <w:p w14:paraId="3E2B9ED9">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862" w:type="dxa"/>
            <w:vMerge w:val="continue"/>
            <w:shd w:val="clear" w:color="auto" w:fill="auto"/>
            <w:vAlign w:val="center"/>
          </w:tcPr>
          <w:p w14:paraId="33D741B6">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r>
      <w:tr w14:paraId="00AAC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244" w:type="dxa"/>
            <w:vMerge w:val="continue"/>
            <w:vAlign w:val="center"/>
          </w:tcPr>
          <w:p w14:paraId="2D1A6898">
            <w:pPr>
              <w:widowControl/>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304" w:type="dxa"/>
            <w:shd w:val="clear" w:color="auto" w:fill="auto"/>
            <w:vAlign w:val="center"/>
          </w:tcPr>
          <w:p w14:paraId="29486E1E">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WAPI数据中转站通信模组</w:t>
            </w:r>
          </w:p>
        </w:tc>
        <w:tc>
          <w:tcPr>
            <w:tcW w:w="2795" w:type="dxa"/>
            <w:shd w:val="clear" w:color="auto" w:fill="auto"/>
            <w:vAlign w:val="center"/>
          </w:tcPr>
          <w:p w14:paraId="55981E25">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电池容量≥17000毫安时，工作电压：3.6V，支持休眠，休眠电力&lt;20微安，支持一定AT指令集；工作环境温度：-25℃～+55℃</w:t>
            </w:r>
          </w:p>
        </w:tc>
        <w:tc>
          <w:tcPr>
            <w:tcW w:w="495" w:type="dxa"/>
            <w:shd w:val="clear" w:color="000000" w:fill="FFFFFF"/>
            <w:vAlign w:val="center"/>
          </w:tcPr>
          <w:p w14:paraId="4EA07740">
            <w:pPr>
              <w:jc w:val="center"/>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个</w:t>
            </w:r>
          </w:p>
        </w:tc>
        <w:tc>
          <w:tcPr>
            <w:tcW w:w="810" w:type="dxa"/>
            <w:shd w:val="clear" w:color="000000" w:fill="FFFFFF"/>
            <w:vAlign w:val="center"/>
          </w:tcPr>
          <w:p w14:paraId="7718C46D">
            <w:pPr>
              <w:keepNext w:val="0"/>
              <w:keepLines w:val="0"/>
              <w:widowControl/>
              <w:suppressLineNumbers w:val="0"/>
              <w:jc w:val="center"/>
              <w:textAlignment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1785</w:t>
            </w:r>
          </w:p>
        </w:tc>
        <w:tc>
          <w:tcPr>
            <w:tcW w:w="900" w:type="dxa"/>
            <w:shd w:val="clear" w:color="auto" w:fill="auto"/>
            <w:vAlign w:val="center"/>
          </w:tcPr>
          <w:p w14:paraId="26704CD6">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rPr>
              <w:t>接供货通知后后</w:t>
            </w:r>
            <w:r>
              <w:rPr>
                <w:rFonts w:hint="eastAsia" w:ascii="宋体" w:hAnsi="宋体" w:eastAsia="宋体" w:cs="宋体"/>
                <w:kern w:val="0"/>
                <w:sz w:val="24"/>
                <w:szCs w:val="24"/>
                <w:highlight w:val="none"/>
                <w:u w:val="single"/>
              </w:rPr>
              <w:t>1</w:t>
            </w:r>
            <w:r>
              <w:rPr>
                <w:rFonts w:hint="eastAsia" w:ascii="宋体" w:hAnsi="宋体" w:eastAsia="宋体" w:cs="宋体"/>
                <w:kern w:val="0"/>
                <w:sz w:val="24"/>
                <w:szCs w:val="24"/>
                <w:highlight w:val="none"/>
                <w:u w:val="single"/>
                <w:lang w:val="en-US" w:eastAsia="zh-CN"/>
              </w:rPr>
              <w:t>5</w:t>
            </w:r>
            <w:r>
              <w:rPr>
                <w:rFonts w:hint="eastAsia" w:ascii="宋体" w:hAnsi="宋体" w:eastAsia="宋体" w:cs="宋体"/>
                <w:kern w:val="0"/>
                <w:sz w:val="24"/>
                <w:szCs w:val="24"/>
                <w:highlight w:val="none"/>
              </w:rPr>
              <w:t>日内</w:t>
            </w:r>
          </w:p>
        </w:tc>
        <w:tc>
          <w:tcPr>
            <w:tcW w:w="1290" w:type="dxa"/>
            <w:shd w:val="clear" w:color="auto" w:fill="auto"/>
            <w:vAlign w:val="center"/>
          </w:tcPr>
          <w:p w14:paraId="24D895A9">
            <w:pPr>
              <w:jc w:val="center"/>
              <w:rPr>
                <w:rFonts w:hint="eastAsia" w:ascii="宋体" w:hAnsi="宋体" w:eastAsia="宋体" w:cs="宋体"/>
                <w:color w:val="000000" w:themeColor="text1"/>
                <w:kern w:val="0"/>
                <w:sz w:val="24"/>
                <w:szCs w:val="24"/>
                <w:highlight w:val="none"/>
                <w:u w:val="singl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u w:val="single"/>
                <w14:textFill>
                  <w14:solidFill>
                    <w14:schemeClr w14:val="tx1"/>
                  </w14:solidFill>
                </w14:textFill>
              </w:rPr>
              <w:t>36</w:t>
            </w:r>
            <w:r>
              <w:rPr>
                <w:rFonts w:hint="eastAsia" w:ascii="宋体" w:hAnsi="宋体" w:eastAsia="宋体" w:cs="宋体"/>
                <w:color w:val="000000" w:themeColor="text1"/>
                <w:kern w:val="0"/>
                <w:sz w:val="24"/>
                <w:szCs w:val="24"/>
                <w:highlight w:val="none"/>
                <w14:textFill>
                  <w14:solidFill>
                    <w14:schemeClr w14:val="tx1"/>
                  </w14:solidFill>
                </w14:textFill>
              </w:rPr>
              <w:t>个月</w:t>
            </w:r>
          </w:p>
        </w:tc>
        <w:tc>
          <w:tcPr>
            <w:tcW w:w="1245" w:type="dxa"/>
            <w:shd w:val="clear" w:color="auto" w:fill="auto"/>
            <w:vAlign w:val="center"/>
          </w:tcPr>
          <w:p w14:paraId="77B7EF0E">
            <w:pPr>
              <w:jc w:val="center"/>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买方指定地点</w:t>
            </w:r>
          </w:p>
        </w:tc>
        <w:tc>
          <w:tcPr>
            <w:tcW w:w="1710" w:type="dxa"/>
            <w:vMerge w:val="continue"/>
            <w:shd w:val="clear" w:color="auto" w:fill="auto"/>
            <w:vAlign w:val="center"/>
          </w:tcPr>
          <w:p w14:paraId="0179DB29">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862" w:type="dxa"/>
            <w:vMerge w:val="continue"/>
            <w:shd w:val="clear" w:color="auto" w:fill="auto"/>
            <w:vAlign w:val="center"/>
          </w:tcPr>
          <w:p w14:paraId="1725D487">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r>
      <w:tr w14:paraId="5271B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244" w:type="dxa"/>
            <w:vMerge w:val="continue"/>
            <w:vAlign w:val="center"/>
          </w:tcPr>
          <w:p w14:paraId="59C1EE5C">
            <w:pPr>
              <w:widowControl/>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304" w:type="dxa"/>
            <w:shd w:val="clear" w:color="auto" w:fill="auto"/>
            <w:vAlign w:val="center"/>
          </w:tcPr>
          <w:p w14:paraId="2ABE8E98">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WAPI数据中转站外壳</w:t>
            </w:r>
          </w:p>
        </w:tc>
        <w:tc>
          <w:tcPr>
            <w:tcW w:w="2795" w:type="dxa"/>
            <w:shd w:val="clear" w:color="auto" w:fill="auto"/>
            <w:vAlign w:val="center"/>
          </w:tcPr>
          <w:p w14:paraId="16E39AD2">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适配WAPI数据中转站通信模组，采用耐腐蚀耐老化的绝缘阻燃塑料材质，外壳应有足够的强度，外物撞击造成的变形不应影响其正常工作尺寸：27mm *57mm *45mm，应符合GB/T 5169.11—2017的阻燃要求</w:t>
            </w:r>
          </w:p>
        </w:tc>
        <w:tc>
          <w:tcPr>
            <w:tcW w:w="495" w:type="dxa"/>
            <w:shd w:val="clear" w:color="000000" w:fill="FFFFFF"/>
            <w:vAlign w:val="center"/>
          </w:tcPr>
          <w:p w14:paraId="3C536427">
            <w:pPr>
              <w:jc w:val="center"/>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个</w:t>
            </w:r>
          </w:p>
        </w:tc>
        <w:tc>
          <w:tcPr>
            <w:tcW w:w="810" w:type="dxa"/>
            <w:shd w:val="clear" w:color="000000" w:fill="FFFFFF"/>
            <w:vAlign w:val="center"/>
          </w:tcPr>
          <w:p w14:paraId="182A8C64">
            <w:pPr>
              <w:keepNext w:val="0"/>
              <w:keepLines w:val="0"/>
              <w:widowControl/>
              <w:suppressLineNumbers w:val="0"/>
              <w:jc w:val="center"/>
              <w:textAlignment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1785</w:t>
            </w:r>
          </w:p>
        </w:tc>
        <w:tc>
          <w:tcPr>
            <w:tcW w:w="900" w:type="dxa"/>
            <w:shd w:val="clear" w:color="auto" w:fill="auto"/>
            <w:vAlign w:val="center"/>
          </w:tcPr>
          <w:p w14:paraId="70E7582C">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rPr>
              <w:t>接供货通知后后</w:t>
            </w:r>
            <w:r>
              <w:rPr>
                <w:rFonts w:hint="eastAsia" w:ascii="宋体" w:hAnsi="宋体" w:eastAsia="宋体" w:cs="宋体"/>
                <w:kern w:val="0"/>
                <w:sz w:val="24"/>
                <w:szCs w:val="24"/>
                <w:highlight w:val="none"/>
                <w:u w:val="single"/>
              </w:rPr>
              <w:t>1</w:t>
            </w:r>
            <w:r>
              <w:rPr>
                <w:rFonts w:hint="eastAsia" w:ascii="宋体" w:hAnsi="宋体" w:eastAsia="宋体" w:cs="宋体"/>
                <w:kern w:val="0"/>
                <w:sz w:val="24"/>
                <w:szCs w:val="24"/>
                <w:highlight w:val="none"/>
                <w:u w:val="single"/>
                <w:lang w:val="en-US" w:eastAsia="zh-CN"/>
              </w:rPr>
              <w:t>5</w:t>
            </w:r>
            <w:r>
              <w:rPr>
                <w:rFonts w:hint="eastAsia" w:ascii="宋体" w:hAnsi="宋体" w:eastAsia="宋体" w:cs="宋体"/>
                <w:kern w:val="0"/>
                <w:sz w:val="24"/>
                <w:szCs w:val="24"/>
                <w:highlight w:val="none"/>
              </w:rPr>
              <w:t>日内</w:t>
            </w:r>
          </w:p>
        </w:tc>
        <w:tc>
          <w:tcPr>
            <w:tcW w:w="1290" w:type="dxa"/>
            <w:shd w:val="clear" w:color="auto" w:fill="auto"/>
            <w:vAlign w:val="center"/>
          </w:tcPr>
          <w:p w14:paraId="6ABF4C7D">
            <w:pPr>
              <w:jc w:val="center"/>
              <w:rPr>
                <w:rFonts w:hint="eastAsia" w:ascii="宋体" w:hAnsi="宋体" w:eastAsia="宋体" w:cs="宋体"/>
                <w:color w:val="000000" w:themeColor="text1"/>
                <w:kern w:val="0"/>
                <w:sz w:val="24"/>
                <w:szCs w:val="24"/>
                <w:highlight w:val="none"/>
                <w:u w:val="singl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u w:val="single"/>
                <w14:textFill>
                  <w14:solidFill>
                    <w14:schemeClr w14:val="tx1"/>
                  </w14:solidFill>
                </w14:textFill>
              </w:rPr>
              <w:t>36</w:t>
            </w:r>
            <w:r>
              <w:rPr>
                <w:rFonts w:hint="eastAsia" w:ascii="宋体" w:hAnsi="宋体" w:eastAsia="宋体" w:cs="宋体"/>
                <w:color w:val="000000" w:themeColor="text1"/>
                <w:kern w:val="0"/>
                <w:sz w:val="24"/>
                <w:szCs w:val="24"/>
                <w:highlight w:val="none"/>
                <w14:textFill>
                  <w14:solidFill>
                    <w14:schemeClr w14:val="tx1"/>
                  </w14:solidFill>
                </w14:textFill>
              </w:rPr>
              <w:t>个月</w:t>
            </w:r>
          </w:p>
        </w:tc>
        <w:tc>
          <w:tcPr>
            <w:tcW w:w="1245" w:type="dxa"/>
            <w:shd w:val="clear" w:color="auto" w:fill="auto"/>
            <w:vAlign w:val="center"/>
          </w:tcPr>
          <w:p w14:paraId="30E74DC9">
            <w:pPr>
              <w:jc w:val="center"/>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买方指定地点</w:t>
            </w:r>
          </w:p>
        </w:tc>
        <w:tc>
          <w:tcPr>
            <w:tcW w:w="1710" w:type="dxa"/>
            <w:vMerge w:val="continue"/>
            <w:shd w:val="clear" w:color="auto" w:fill="auto"/>
            <w:vAlign w:val="center"/>
          </w:tcPr>
          <w:p w14:paraId="41B20FD2">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862" w:type="dxa"/>
            <w:vMerge w:val="continue"/>
            <w:shd w:val="clear" w:color="auto" w:fill="auto"/>
            <w:vAlign w:val="center"/>
          </w:tcPr>
          <w:p w14:paraId="2A8C82D1">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r>
      <w:tr w14:paraId="36C24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244" w:type="dxa"/>
            <w:vMerge w:val="continue"/>
            <w:vAlign w:val="center"/>
          </w:tcPr>
          <w:p w14:paraId="62ECCD1A">
            <w:pPr>
              <w:widowControl/>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304" w:type="dxa"/>
            <w:shd w:val="clear" w:color="auto" w:fill="auto"/>
            <w:vAlign w:val="center"/>
          </w:tcPr>
          <w:p w14:paraId="3490B23B">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信号接收组件通信模组</w:t>
            </w:r>
          </w:p>
        </w:tc>
        <w:tc>
          <w:tcPr>
            <w:tcW w:w="2795" w:type="dxa"/>
            <w:shd w:val="clear" w:color="auto" w:fill="auto"/>
            <w:vAlign w:val="center"/>
          </w:tcPr>
          <w:p w14:paraId="23896DEB">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工作电源DC 9~32V；通讯方式RS-48；采用DC3.3V供电，休眠模式整机功耗电流不大于90uA,支持无线数据接收功能,支持不少于100个监视传感器模块数据采集和汇总</w:t>
            </w:r>
          </w:p>
        </w:tc>
        <w:tc>
          <w:tcPr>
            <w:tcW w:w="495" w:type="dxa"/>
            <w:shd w:val="clear" w:color="000000" w:fill="FFFFFF"/>
            <w:vAlign w:val="center"/>
          </w:tcPr>
          <w:p w14:paraId="010BB318">
            <w:pPr>
              <w:jc w:val="center"/>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个</w:t>
            </w:r>
          </w:p>
        </w:tc>
        <w:tc>
          <w:tcPr>
            <w:tcW w:w="810" w:type="dxa"/>
            <w:shd w:val="clear" w:color="000000" w:fill="FFFFFF"/>
            <w:vAlign w:val="center"/>
          </w:tcPr>
          <w:p w14:paraId="614CF674">
            <w:pPr>
              <w:keepNext w:val="0"/>
              <w:keepLines w:val="0"/>
              <w:widowControl/>
              <w:suppressLineNumbers w:val="0"/>
              <w:jc w:val="center"/>
              <w:textAlignment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8925</w:t>
            </w:r>
          </w:p>
        </w:tc>
        <w:tc>
          <w:tcPr>
            <w:tcW w:w="900" w:type="dxa"/>
            <w:shd w:val="clear" w:color="auto" w:fill="auto"/>
            <w:vAlign w:val="center"/>
          </w:tcPr>
          <w:p w14:paraId="7E4E338A">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rPr>
              <w:t>接供货通知后后</w:t>
            </w:r>
            <w:r>
              <w:rPr>
                <w:rFonts w:hint="eastAsia" w:ascii="宋体" w:hAnsi="宋体" w:eastAsia="宋体" w:cs="宋体"/>
                <w:kern w:val="0"/>
                <w:sz w:val="24"/>
                <w:szCs w:val="24"/>
                <w:highlight w:val="none"/>
                <w:u w:val="single"/>
              </w:rPr>
              <w:t>1</w:t>
            </w:r>
            <w:r>
              <w:rPr>
                <w:rFonts w:hint="eastAsia" w:ascii="宋体" w:hAnsi="宋体" w:eastAsia="宋体" w:cs="宋体"/>
                <w:kern w:val="0"/>
                <w:sz w:val="24"/>
                <w:szCs w:val="24"/>
                <w:highlight w:val="none"/>
                <w:u w:val="single"/>
                <w:lang w:val="en-US" w:eastAsia="zh-CN"/>
              </w:rPr>
              <w:t>5</w:t>
            </w:r>
            <w:r>
              <w:rPr>
                <w:rFonts w:hint="eastAsia" w:ascii="宋体" w:hAnsi="宋体" w:eastAsia="宋体" w:cs="宋体"/>
                <w:kern w:val="0"/>
                <w:sz w:val="24"/>
                <w:szCs w:val="24"/>
                <w:highlight w:val="none"/>
              </w:rPr>
              <w:t>日内</w:t>
            </w:r>
          </w:p>
        </w:tc>
        <w:tc>
          <w:tcPr>
            <w:tcW w:w="1290" w:type="dxa"/>
            <w:shd w:val="clear" w:color="auto" w:fill="auto"/>
            <w:vAlign w:val="center"/>
          </w:tcPr>
          <w:p w14:paraId="1A23BA20">
            <w:pPr>
              <w:jc w:val="center"/>
              <w:rPr>
                <w:rFonts w:hint="eastAsia" w:ascii="宋体" w:hAnsi="宋体" w:eastAsia="宋体" w:cs="宋体"/>
                <w:color w:val="000000" w:themeColor="text1"/>
                <w:kern w:val="0"/>
                <w:sz w:val="24"/>
                <w:szCs w:val="24"/>
                <w:highlight w:val="none"/>
                <w:u w:val="singl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u w:val="single"/>
                <w14:textFill>
                  <w14:solidFill>
                    <w14:schemeClr w14:val="tx1"/>
                  </w14:solidFill>
                </w14:textFill>
              </w:rPr>
              <w:t>36</w:t>
            </w:r>
            <w:r>
              <w:rPr>
                <w:rFonts w:hint="eastAsia" w:ascii="宋体" w:hAnsi="宋体" w:eastAsia="宋体" w:cs="宋体"/>
                <w:color w:val="000000" w:themeColor="text1"/>
                <w:kern w:val="0"/>
                <w:sz w:val="24"/>
                <w:szCs w:val="24"/>
                <w:highlight w:val="none"/>
                <w14:textFill>
                  <w14:solidFill>
                    <w14:schemeClr w14:val="tx1"/>
                  </w14:solidFill>
                </w14:textFill>
              </w:rPr>
              <w:t>个月</w:t>
            </w:r>
          </w:p>
        </w:tc>
        <w:tc>
          <w:tcPr>
            <w:tcW w:w="1245" w:type="dxa"/>
            <w:shd w:val="clear" w:color="auto" w:fill="auto"/>
            <w:vAlign w:val="center"/>
          </w:tcPr>
          <w:p w14:paraId="4DC22B65">
            <w:pPr>
              <w:jc w:val="center"/>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买方指定地点</w:t>
            </w:r>
          </w:p>
        </w:tc>
        <w:tc>
          <w:tcPr>
            <w:tcW w:w="1710" w:type="dxa"/>
            <w:vMerge w:val="continue"/>
            <w:shd w:val="clear" w:color="auto" w:fill="auto"/>
            <w:vAlign w:val="center"/>
          </w:tcPr>
          <w:p w14:paraId="2162B6D4">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862" w:type="dxa"/>
            <w:vMerge w:val="continue"/>
            <w:shd w:val="clear" w:color="auto" w:fill="auto"/>
            <w:vAlign w:val="center"/>
          </w:tcPr>
          <w:p w14:paraId="17760C65">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r>
      <w:tr w14:paraId="6A2C3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244" w:type="dxa"/>
            <w:vMerge w:val="continue"/>
            <w:vAlign w:val="center"/>
          </w:tcPr>
          <w:p w14:paraId="330C7C74">
            <w:pPr>
              <w:widowControl/>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304" w:type="dxa"/>
            <w:shd w:val="clear" w:color="auto" w:fill="auto"/>
            <w:vAlign w:val="center"/>
          </w:tcPr>
          <w:p w14:paraId="49B19D0A">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信号接收组件外壳</w:t>
            </w:r>
          </w:p>
        </w:tc>
        <w:tc>
          <w:tcPr>
            <w:tcW w:w="2795" w:type="dxa"/>
            <w:shd w:val="clear" w:color="auto" w:fill="auto"/>
            <w:vAlign w:val="center"/>
          </w:tcPr>
          <w:p w14:paraId="2201FDD2">
            <w:pPr>
              <w:keepNext w:val="0"/>
              <w:keepLines w:val="0"/>
              <w:widowControl/>
              <w:suppressLineNumbers w:val="0"/>
              <w:jc w:val="center"/>
              <w:textAlignment w:val="center"/>
              <w:rPr>
                <w:rFonts w:hint="eastAsia" w:ascii="宋体" w:hAnsi="宋体" w:eastAsia="宋体" w:cs="宋体"/>
                <w:kern w:val="0"/>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适配信号接收组件通信模组，采用耐腐蚀耐老化的绝缘阻燃塑料材质或铝合金材质，外壳应有足够的强度，外物撞击造成的变形不应影响其正常工作，尺寸：320mm *36mm *20mm，塑料材质应符合GB/T 5169.11—2017的阻燃要求</w:t>
            </w:r>
          </w:p>
        </w:tc>
        <w:tc>
          <w:tcPr>
            <w:tcW w:w="495" w:type="dxa"/>
            <w:shd w:val="clear" w:color="000000" w:fill="FFFFFF"/>
            <w:vAlign w:val="center"/>
          </w:tcPr>
          <w:p w14:paraId="34E12CC4">
            <w:pPr>
              <w:jc w:val="center"/>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个</w:t>
            </w:r>
          </w:p>
        </w:tc>
        <w:tc>
          <w:tcPr>
            <w:tcW w:w="810" w:type="dxa"/>
            <w:shd w:val="clear" w:color="000000" w:fill="FFFFFF"/>
            <w:vAlign w:val="center"/>
          </w:tcPr>
          <w:p w14:paraId="4150019A">
            <w:pPr>
              <w:keepNext w:val="0"/>
              <w:keepLines w:val="0"/>
              <w:widowControl/>
              <w:suppressLineNumbers w:val="0"/>
              <w:jc w:val="center"/>
              <w:textAlignment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8925</w:t>
            </w:r>
          </w:p>
        </w:tc>
        <w:tc>
          <w:tcPr>
            <w:tcW w:w="900" w:type="dxa"/>
            <w:shd w:val="clear" w:color="auto" w:fill="auto"/>
            <w:vAlign w:val="center"/>
          </w:tcPr>
          <w:p w14:paraId="4CD0AA44">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rPr>
              <w:t>接供货通知后后</w:t>
            </w:r>
            <w:r>
              <w:rPr>
                <w:rFonts w:hint="eastAsia" w:ascii="宋体" w:hAnsi="宋体" w:eastAsia="宋体" w:cs="宋体"/>
                <w:kern w:val="0"/>
                <w:sz w:val="24"/>
                <w:szCs w:val="24"/>
                <w:highlight w:val="none"/>
                <w:u w:val="single"/>
              </w:rPr>
              <w:t>1</w:t>
            </w:r>
            <w:r>
              <w:rPr>
                <w:rFonts w:hint="eastAsia" w:ascii="宋体" w:hAnsi="宋体" w:eastAsia="宋体" w:cs="宋体"/>
                <w:kern w:val="0"/>
                <w:sz w:val="24"/>
                <w:szCs w:val="24"/>
                <w:highlight w:val="none"/>
                <w:u w:val="single"/>
                <w:lang w:val="en-US" w:eastAsia="zh-CN"/>
              </w:rPr>
              <w:t>5</w:t>
            </w:r>
            <w:r>
              <w:rPr>
                <w:rFonts w:hint="eastAsia" w:ascii="宋体" w:hAnsi="宋体" w:eastAsia="宋体" w:cs="宋体"/>
                <w:kern w:val="0"/>
                <w:sz w:val="24"/>
                <w:szCs w:val="24"/>
                <w:highlight w:val="none"/>
              </w:rPr>
              <w:t>日内</w:t>
            </w:r>
          </w:p>
        </w:tc>
        <w:tc>
          <w:tcPr>
            <w:tcW w:w="1290" w:type="dxa"/>
            <w:shd w:val="clear" w:color="auto" w:fill="auto"/>
            <w:vAlign w:val="center"/>
          </w:tcPr>
          <w:p w14:paraId="6C2EDA4D">
            <w:pPr>
              <w:jc w:val="center"/>
              <w:rPr>
                <w:rFonts w:hint="eastAsia" w:ascii="宋体" w:hAnsi="宋体" w:eastAsia="宋体" w:cs="宋体"/>
                <w:color w:val="000000" w:themeColor="text1"/>
                <w:kern w:val="0"/>
                <w:sz w:val="24"/>
                <w:szCs w:val="24"/>
                <w:highlight w:val="none"/>
                <w:u w:val="singl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u w:val="single"/>
                <w14:textFill>
                  <w14:solidFill>
                    <w14:schemeClr w14:val="tx1"/>
                  </w14:solidFill>
                </w14:textFill>
              </w:rPr>
              <w:t>36</w:t>
            </w:r>
            <w:r>
              <w:rPr>
                <w:rFonts w:hint="eastAsia" w:ascii="宋体" w:hAnsi="宋体" w:eastAsia="宋体" w:cs="宋体"/>
                <w:color w:val="000000" w:themeColor="text1"/>
                <w:kern w:val="0"/>
                <w:sz w:val="24"/>
                <w:szCs w:val="24"/>
                <w:highlight w:val="none"/>
                <w14:textFill>
                  <w14:solidFill>
                    <w14:schemeClr w14:val="tx1"/>
                  </w14:solidFill>
                </w14:textFill>
              </w:rPr>
              <w:t>个月</w:t>
            </w:r>
          </w:p>
        </w:tc>
        <w:tc>
          <w:tcPr>
            <w:tcW w:w="1245" w:type="dxa"/>
            <w:shd w:val="clear" w:color="auto" w:fill="auto"/>
            <w:vAlign w:val="center"/>
          </w:tcPr>
          <w:p w14:paraId="60F7D6DE">
            <w:pPr>
              <w:jc w:val="center"/>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买方指定地点</w:t>
            </w:r>
          </w:p>
        </w:tc>
        <w:tc>
          <w:tcPr>
            <w:tcW w:w="1710" w:type="dxa"/>
            <w:vMerge w:val="continue"/>
            <w:shd w:val="clear" w:color="auto" w:fill="auto"/>
            <w:vAlign w:val="center"/>
          </w:tcPr>
          <w:p w14:paraId="706AF0B8">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c>
          <w:tcPr>
            <w:tcW w:w="1862" w:type="dxa"/>
            <w:vMerge w:val="continue"/>
            <w:shd w:val="clear" w:color="auto" w:fill="auto"/>
            <w:vAlign w:val="center"/>
          </w:tcPr>
          <w:p w14:paraId="19549E07">
            <w:pPr>
              <w:jc w:val="center"/>
              <w:rPr>
                <w:rFonts w:hint="eastAsia" w:ascii="宋体" w:hAnsi="宋体" w:eastAsia="宋体" w:cs="宋体"/>
                <w:color w:val="000000" w:themeColor="text1"/>
                <w:kern w:val="0"/>
                <w:sz w:val="24"/>
                <w:szCs w:val="24"/>
                <w:highlight w:val="none"/>
                <w14:textFill>
                  <w14:solidFill>
                    <w14:schemeClr w14:val="tx1"/>
                  </w14:solidFill>
                </w14:textFill>
              </w:rPr>
            </w:pPr>
          </w:p>
        </w:tc>
      </w:tr>
    </w:tbl>
    <w:p w14:paraId="452217AD">
      <w:pPr>
        <w:widowControl/>
        <w:jc w:val="left"/>
        <w:rPr>
          <w:rFonts w:hint="eastAsia" w:eastAsia="宋体" w:asciiTheme="minorEastAsia" w:hAnsiTheme="minorEastAsia" w:cstheme="minorEastAsia"/>
          <w:b/>
          <w:bCs/>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具体供货不局限于上述产品。应包括上述产品相关配件，类似升级产品</w:t>
      </w:r>
      <w:r>
        <w:rPr>
          <w:rFonts w:hint="eastAsia" w:ascii="宋体" w:hAnsi="宋体" w:cs="宋体"/>
          <w:color w:val="000000" w:themeColor="text1"/>
          <w:sz w:val="24"/>
          <w:szCs w:val="24"/>
          <w:highlight w:val="none"/>
          <w:lang w:eastAsia="zh-CN"/>
          <w14:textFill>
            <w14:solidFill>
              <w14:schemeClr w14:val="tx1"/>
            </w14:solidFill>
          </w14:textFill>
        </w:rPr>
        <w:t>。</w:t>
      </w:r>
    </w:p>
    <w:p w14:paraId="192F2D9C">
      <w:pPr>
        <w:pStyle w:val="11"/>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备注：</w:t>
      </w:r>
    </w:p>
    <w:p w14:paraId="260C1E91">
      <w:pPr>
        <w:pStyle w:val="11"/>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1.取得《国家电网有限公司集中规模招标采购供应商资质能力核实证明》</w:t>
      </w:r>
      <w:r>
        <w:rPr>
          <w:rFonts w:hint="eastAsia" w:asciiTheme="minorEastAsia" w:hAnsiTheme="minorEastAsia" w:eastAsiaTheme="minorEastAsia" w:cstheme="minorEastAsia"/>
          <w:sz w:val="24"/>
          <w:szCs w:val="24"/>
          <w:highlight w:val="none"/>
          <w:lang w:eastAsia="zh-CN"/>
        </w:rPr>
        <w:t>或《国网智能科技股份有限公司集中规模招标采购供应商资质能力核实证明》</w:t>
      </w:r>
      <w:r>
        <w:rPr>
          <w:rFonts w:hint="eastAsia" w:asciiTheme="minorEastAsia" w:hAnsiTheme="minorEastAsia" w:eastAsiaTheme="minorEastAsia" w:cstheme="minorEastAsia"/>
          <w:sz w:val="24"/>
          <w:szCs w:val="24"/>
          <w:highlight w:val="none"/>
        </w:rPr>
        <w:t>（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14:paraId="6D2CF2F0">
      <w:pPr>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2.投标文件中提供的证明材料复印件应复印清晰、可辨认且不得遮盖、涂抹，否则视为无效。</w:t>
      </w:r>
    </w:p>
    <w:sectPr>
      <w:footerReference r:id="rId3" w:type="default"/>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188B1A">
    <w:pPr>
      <w:pStyle w:val="5"/>
      <w:tabs>
        <w:tab w:val="center" w:pos="6979"/>
        <w:tab w:val="clear" w:pos="8306"/>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D4F8645">
                          <w:pPr>
                            <w:pStyle w:val="5"/>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1D4F8645">
                    <w:pPr>
                      <w:pStyle w:val="5"/>
                    </w:pPr>
                    <w:r>
                      <w:fldChar w:fldCharType="begin"/>
                    </w:r>
                    <w:r>
                      <w:instrText xml:space="preserve"> PAGE  \* MERGEFORMAT </w:instrText>
                    </w:r>
                    <w:r>
                      <w:fldChar w:fldCharType="separate"/>
                    </w:r>
                    <w:r>
                      <w:t>2</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8420"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58420" cy="139700"/>
                      </a:xfrm>
                      <a:prstGeom prst="rect">
                        <a:avLst/>
                      </a:prstGeom>
                      <a:noFill/>
                      <a:ln>
                        <a:noFill/>
                      </a:ln>
                      <a:effectLst/>
                    </wps:spPr>
                    <wps:txbx>
                      <w:txbxContent>
                        <w:p w14:paraId="30CBB7F3">
                          <w:pPr>
                            <w:pStyle w:val="5"/>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1pt;width:4.6pt;mso-position-horizontal:center;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y1u5d9AAAAACAQAADwAAAAAAAAABACAAAAAiAAAAZHJz&#10;L2Rvd25yZXYueG1sUEsBAhQAFAAAAAgAh07iQOmC997TAQAApAMAAA4AAAAAAAAAAQAgAAAAHwEA&#10;AGRycy9lMm9Eb2MueG1sUEsFBgAAAAAGAAYAWQEAAGQFAAAAAA==&#10;">
              <v:fill on="f" focussize="0,0"/>
              <v:stroke on="f"/>
              <v:imagedata o:title=""/>
              <o:lock v:ext="edit" aspectratio="f"/>
              <v:textbox inset="0mm,0mm,0mm,0mm" style="mso-fit-shape-to-text:t;">
                <w:txbxContent>
                  <w:p w14:paraId="30CBB7F3">
                    <w:pPr>
                      <w:pStyle w:val="5"/>
                    </w:pPr>
                  </w:p>
                </w:txbxContent>
              </v:textbox>
            </v:shape>
          </w:pict>
        </mc:Fallback>
      </mc:AlternateContent>
    </w:r>
    <w:r>
      <w:tab/>
    </w:r>
    <w:r>
      <w:tab/>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FmZDMzM2YxZWEwODNkZTM2ZjNiZDczOTVhYTdlMDMifQ=="/>
  </w:docVars>
  <w:rsids>
    <w:rsidRoot w:val="00000000"/>
    <w:rsid w:val="03102BF2"/>
    <w:rsid w:val="04707138"/>
    <w:rsid w:val="04860D8F"/>
    <w:rsid w:val="07563215"/>
    <w:rsid w:val="0A8B5858"/>
    <w:rsid w:val="0C9566ED"/>
    <w:rsid w:val="10C017AC"/>
    <w:rsid w:val="11EF4173"/>
    <w:rsid w:val="16267F4A"/>
    <w:rsid w:val="17252504"/>
    <w:rsid w:val="17832749"/>
    <w:rsid w:val="179629F3"/>
    <w:rsid w:val="188E6C44"/>
    <w:rsid w:val="18E776A7"/>
    <w:rsid w:val="18F42ED1"/>
    <w:rsid w:val="22BC120E"/>
    <w:rsid w:val="22F71DBE"/>
    <w:rsid w:val="26BD5819"/>
    <w:rsid w:val="28455ABC"/>
    <w:rsid w:val="2EBF6414"/>
    <w:rsid w:val="34940235"/>
    <w:rsid w:val="357927D4"/>
    <w:rsid w:val="3A2F2590"/>
    <w:rsid w:val="42CE694E"/>
    <w:rsid w:val="4AA15384"/>
    <w:rsid w:val="4ABD7A75"/>
    <w:rsid w:val="4C0513A3"/>
    <w:rsid w:val="4D2E620D"/>
    <w:rsid w:val="4F403134"/>
    <w:rsid w:val="4F6C1739"/>
    <w:rsid w:val="511E0452"/>
    <w:rsid w:val="51340035"/>
    <w:rsid w:val="516A3318"/>
    <w:rsid w:val="637846F9"/>
    <w:rsid w:val="668F4233"/>
    <w:rsid w:val="699B2708"/>
    <w:rsid w:val="6B0F6C92"/>
    <w:rsid w:val="6B8F54C3"/>
    <w:rsid w:val="72A11576"/>
    <w:rsid w:val="762519CD"/>
    <w:rsid w:val="77C16217"/>
    <w:rsid w:val="7C30728F"/>
    <w:rsid w:val="7EFA70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qFormat/>
    <w:uiPriority w:val="0"/>
    <w:pPr>
      <w:keepNext/>
      <w:keepLines/>
      <w:topLinePunct/>
      <w:adjustRightInd w:val="0"/>
      <w:snapToGrid w:val="0"/>
      <w:spacing w:beforeLines="80" w:afterLines="80"/>
      <w:outlineLvl w:val="1"/>
    </w:pPr>
    <w:rPr>
      <w:rFonts w:ascii="Arial" w:hAnsi="Arial" w:eastAsia="黑体"/>
    </w:rPr>
  </w:style>
  <w:style w:type="character" w:default="1" w:styleId="8">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ody Text Indent"/>
    <w:basedOn w:val="1"/>
    <w:autoRedefine/>
    <w:qFormat/>
    <w:uiPriority w:val="0"/>
    <w:pPr>
      <w:spacing w:after="120"/>
      <w:ind w:left="420"/>
    </w:pPr>
    <w:rPr>
      <w:sz w:val="22"/>
    </w:rPr>
  </w:style>
  <w:style w:type="paragraph" w:styleId="5">
    <w:name w:val="footer"/>
    <w:basedOn w:val="1"/>
    <w:autoRedefine/>
    <w:unhideWhenUsed/>
    <w:qFormat/>
    <w:uiPriority w:val="99"/>
    <w:pPr>
      <w:tabs>
        <w:tab w:val="center" w:pos="4153"/>
        <w:tab w:val="right" w:pos="8306"/>
      </w:tabs>
      <w:snapToGrid w:val="0"/>
      <w:jc w:val="left"/>
    </w:pPr>
    <w:rPr>
      <w:sz w:val="18"/>
      <w:szCs w:val="18"/>
    </w:rPr>
  </w:style>
  <w:style w:type="paragraph" w:styleId="6">
    <w:name w:val="Body Text First Indent 2"/>
    <w:basedOn w:val="4"/>
    <w:autoRedefine/>
    <w:qFormat/>
    <w:uiPriority w:val="0"/>
    <w:pPr>
      <w:ind w:firstLine="420"/>
    </w:pPr>
  </w:style>
  <w:style w:type="character" w:styleId="9">
    <w:name w:val="Hyperlink"/>
    <w:autoRedefine/>
    <w:qFormat/>
    <w:uiPriority w:val="99"/>
    <w:rPr>
      <w:color w:val="0000FF"/>
      <w:u w:val="single"/>
    </w:rPr>
  </w:style>
  <w:style w:type="paragraph" w:customStyle="1" w:styleId="10">
    <w:name w:val="正文文本2"/>
    <w:basedOn w:val="1"/>
    <w:autoRedefine/>
    <w:qFormat/>
    <w:uiPriority w:val="0"/>
    <w:pPr>
      <w:autoSpaceDE w:val="0"/>
      <w:autoSpaceDN w:val="0"/>
      <w:jc w:val="left"/>
    </w:pPr>
    <w:rPr>
      <w:rFonts w:ascii="宋体" w:hAnsi="宋体"/>
      <w:kern w:val="0"/>
      <w:sz w:val="20"/>
      <w:szCs w:val="21"/>
      <w:lang w:val="zh-CN"/>
    </w:rPr>
  </w:style>
  <w:style w:type="paragraph" w:customStyle="1" w:styleId="11">
    <w:name w:val="Normal_1"/>
    <w:autoRedefine/>
    <w:qFormat/>
    <w:uiPriority w:val="0"/>
    <w:pPr>
      <w:widowControl w:val="0"/>
      <w:jc w:val="both"/>
    </w:pPr>
    <w:rPr>
      <w:rFonts w:ascii="Times New Roman" w:hAnsi="Times New Roman" w:eastAsia="宋体" w:cs="Times New Roman"/>
      <w:lang w:val="en-US" w:eastAsia="zh-CN" w:bidi="ar-SA"/>
    </w:rPr>
  </w:style>
  <w:style w:type="paragraph" w:customStyle="1" w:styleId="12">
    <w:name w:val="No Spacing"/>
    <w:autoRedefine/>
    <w:qFormat/>
    <w:uiPriority w:val="1"/>
    <w:rPr>
      <w:rFonts w:ascii="宋体" w:hAnsi="宋体" w:eastAsia="宋体" w:cs="宋体"/>
      <w:kern w:val="0"/>
      <w:sz w:val="24"/>
      <w:szCs w:val="24"/>
      <w:lang w:val="en-US" w:eastAsia="zh-CN" w:bidi="ar-SA"/>
    </w:rPr>
  </w:style>
  <w:style w:type="character" w:customStyle="1" w:styleId="13">
    <w:name w:val="font21"/>
    <w:basedOn w:val="8"/>
    <w:qFormat/>
    <w:uiPriority w:val="0"/>
    <w:rPr>
      <w:rFonts w:hint="eastAsia" w:ascii="仿宋" w:hAnsi="仿宋" w:eastAsia="仿宋" w:cs="仿宋"/>
      <w:color w:val="000000"/>
      <w:sz w:val="22"/>
      <w:szCs w:val="22"/>
      <w:u w:val="none"/>
    </w:rPr>
  </w:style>
  <w:style w:type="character" w:customStyle="1" w:styleId="14">
    <w:name w:val="font31"/>
    <w:basedOn w:val="8"/>
    <w:qFormat/>
    <w:uiPriority w:val="0"/>
    <w:rPr>
      <w:rFonts w:ascii="微软雅黑" w:hAnsi="微软雅黑" w:eastAsia="微软雅黑" w:cs="微软雅黑"/>
      <w:color w:val="000000"/>
      <w:sz w:val="22"/>
      <w:szCs w:val="22"/>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6306</Words>
  <Characters>7152</Characters>
  <Lines>0</Lines>
  <Paragraphs>0</Paragraphs>
  <TotalTime>3</TotalTime>
  <ScaleCrop>false</ScaleCrop>
  <LinksUpToDate>false</LinksUpToDate>
  <CharactersWithSpaces>7204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2024-07-24T08:45:00Z</dcterms:created>
  <dc:creator>Administrator</dc:creator>
  <cp:lastModifiedBy>WPS_1555299874</cp:lastModifiedBy>
  <dcterms:modified xsi:type="dcterms:W3CDTF">2025-05-06T09:27:34Z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0A9A5D90FCA04D09BF4EF67A50F409A2_13</vt:lpwstr>
  </property>
  <property fmtid="{D5CDD505-2E9C-101B-9397-08002B2CF9AE}" pid="4" name="KSOTemplateDocerSaveRecord">
    <vt:lpwstr>eyJoZGlkIjoiZDg2MTVhN2YwOGU0M2QxZjAwMWRmNWM5ZTg4ZmM3YWYiLCJ1c2VySWQiOiI1MjY2MjIyMzMifQ==</vt:lpwstr>
  </property>
</Properties>
</file>