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49AF5">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bookmarkStart w:id="0" w:name="_GoBack"/>
      <w:bookmarkEnd w:id="0"/>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689"/>
        <w:gridCol w:w="5522"/>
        <w:gridCol w:w="490"/>
        <w:gridCol w:w="593"/>
        <w:gridCol w:w="771"/>
        <w:gridCol w:w="898"/>
        <w:gridCol w:w="622"/>
        <w:gridCol w:w="3768"/>
      </w:tblGrid>
      <w:tr w14:paraId="3A49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0217A7B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项目名称</w:t>
            </w:r>
          </w:p>
        </w:tc>
        <w:tc>
          <w:tcPr>
            <w:tcW w:w="0" w:type="auto"/>
            <w:noWrap w:val="0"/>
            <w:vAlign w:val="center"/>
          </w:tcPr>
          <w:p w14:paraId="1705F716">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物资名称</w:t>
            </w:r>
          </w:p>
        </w:tc>
        <w:tc>
          <w:tcPr>
            <w:tcW w:w="0" w:type="auto"/>
            <w:noWrap w:val="0"/>
            <w:vAlign w:val="center"/>
          </w:tcPr>
          <w:p w14:paraId="49975FA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主要技术要求</w:t>
            </w:r>
          </w:p>
        </w:tc>
        <w:tc>
          <w:tcPr>
            <w:tcW w:w="0" w:type="auto"/>
            <w:noWrap w:val="0"/>
            <w:vAlign w:val="center"/>
          </w:tcPr>
          <w:p w14:paraId="4E43366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0" w:type="auto"/>
            <w:noWrap w:val="0"/>
            <w:vAlign w:val="center"/>
          </w:tcPr>
          <w:p w14:paraId="0E20410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0" w:type="auto"/>
            <w:noWrap w:val="0"/>
            <w:vAlign w:val="center"/>
          </w:tcPr>
          <w:p w14:paraId="75CD8287">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交货日期</w:t>
            </w:r>
          </w:p>
        </w:tc>
        <w:tc>
          <w:tcPr>
            <w:tcW w:w="0" w:type="auto"/>
            <w:noWrap w:val="0"/>
            <w:vAlign w:val="center"/>
          </w:tcPr>
          <w:p w14:paraId="3351E9E3">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质保期（不低于）</w:t>
            </w:r>
          </w:p>
        </w:tc>
        <w:tc>
          <w:tcPr>
            <w:tcW w:w="0" w:type="auto"/>
            <w:noWrap w:val="0"/>
            <w:vAlign w:val="center"/>
          </w:tcPr>
          <w:p w14:paraId="05DAE9BA">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交货地点</w:t>
            </w:r>
          </w:p>
        </w:tc>
        <w:tc>
          <w:tcPr>
            <w:tcW w:w="0" w:type="auto"/>
            <w:noWrap w:val="0"/>
            <w:vAlign w:val="center"/>
          </w:tcPr>
          <w:p w14:paraId="30506C71">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专用业绩要求</w:t>
            </w:r>
          </w:p>
        </w:tc>
      </w:tr>
      <w:tr w14:paraId="0B1A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shd w:val="clear" w:color="auto" w:fill="auto"/>
            <w:noWrap w:val="0"/>
            <w:vAlign w:val="center"/>
          </w:tcPr>
          <w:p w14:paraId="3AB1B244">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现场作业终端配件采购项目</w:t>
            </w:r>
          </w:p>
        </w:tc>
        <w:tc>
          <w:tcPr>
            <w:tcW w:w="0" w:type="auto"/>
            <w:shd w:val="clear" w:color="auto" w:fill="auto"/>
            <w:noWrap w:val="0"/>
            <w:vAlign w:val="center"/>
          </w:tcPr>
          <w:p w14:paraId="2BDBF812">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高频模块</w:t>
            </w:r>
          </w:p>
        </w:tc>
        <w:tc>
          <w:tcPr>
            <w:tcW w:w="0" w:type="auto"/>
            <w:shd w:val="clear" w:color="auto" w:fill="auto"/>
            <w:noWrap w:val="0"/>
            <w:vAlign w:val="center"/>
          </w:tcPr>
          <w:p w14:paraId="5AF4262B">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射频工作场频为13.56MHz；工作场强应符合ISO 14443中规定的交变电磁场的要求；传输协议应支持ISO 14443 typeA协议或ISO/IEC 15693—3协议；识读距离不大于5cm时，读写1000次，识读率应大于99%。天线应采用内置式天线。</w:t>
            </w:r>
          </w:p>
        </w:tc>
        <w:tc>
          <w:tcPr>
            <w:tcW w:w="0" w:type="auto"/>
            <w:shd w:val="clear" w:color="000000" w:fill="FFFFFF"/>
            <w:noWrap w:val="0"/>
            <w:vAlign w:val="center"/>
          </w:tcPr>
          <w:p w14:paraId="0A04AB9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6137739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sz w:val="24"/>
                <w:szCs w:val="24"/>
                <w:highlight w:val="none"/>
                <w:lang w:val="en-US" w:eastAsia="zh-CN"/>
              </w:rPr>
              <w:t>600</w:t>
            </w:r>
          </w:p>
        </w:tc>
        <w:tc>
          <w:tcPr>
            <w:tcW w:w="0" w:type="auto"/>
            <w:noWrap w:val="0"/>
            <w:vAlign w:val="center"/>
          </w:tcPr>
          <w:p w14:paraId="589C1E2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接到供货通知后30日内</w:t>
            </w:r>
          </w:p>
        </w:tc>
        <w:tc>
          <w:tcPr>
            <w:tcW w:w="0" w:type="auto"/>
            <w:noWrap w:val="0"/>
            <w:vAlign w:val="center"/>
          </w:tcPr>
          <w:p w14:paraId="0F29AAC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rPr>
              <w:t>36个月</w:t>
            </w:r>
          </w:p>
        </w:tc>
        <w:tc>
          <w:tcPr>
            <w:tcW w:w="0" w:type="auto"/>
            <w:noWrap w:val="0"/>
            <w:vAlign w:val="center"/>
          </w:tcPr>
          <w:p w14:paraId="00B8C4E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0" w:type="auto"/>
            <w:vMerge w:val="restart"/>
            <w:noWrap w:val="0"/>
            <w:vAlign w:val="center"/>
          </w:tcPr>
          <w:p w14:paraId="546060A4">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b w:val="0"/>
                <w:bCs w:val="0"/>
                <w:color w:val="000000"/>
                <w:kern w:val="0"/>
                <w:sz w:val="24"/>
                <w:szCs w:val="24"/>
                <w:highlight w:val="none"/>
              </w:rPr>
              <w:t>业绩要求</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rPr>
              <w:t>202</w:t>
            </w:r>
            <w:r>
              <w:rPr>
                <w:rFonts w:hint="eastAsia" w:ascii="宋体" w:hAnsi="宋体" w:eastAsia="宋体" w:cs="宋体"/>
                <w:b w:val="0"/>
                <w:bCs w:val="0"/>
                <w:color w:val="000000"/>
                <w:kern w:val="0"/>
                <w:sz w:val="24"/>
                <w:szCs w:val="24"/>
                <w:highlight w:val="none"/>
                <w:lang w:val="en-US" w:eastAsia="zh-CN"/>
              </w:rPr>
              <w:t>2</w:t>
            </w:r>
            <w:r>
              <w:rPr>
                <w:rFonts w:hint="eastAsia" w:ascii="宋体" w:hAnsi="宋体" w:eastAsia="宋体" w:cs="宋体"/>
                <w:b w:val="0"/>
                <w:bCs w:val="0"/>
                <w:color w:val="000000"/>
                <w:kern w:val="0"/>
                <w:sz w:val="24"/>
                <w:szCs w:val="24"/>
                <w:highlight w:val="none"/>
              </w:rPr>
              <w:t>年1月1日至招标采购公告发布日止，完成过移动作业设备终端、背夹等产品</w:t>
            </w:r>
            <w:r>
              <w:rPr>
                <w:rFonts w:hint="eastAsia" w:ascii="宋体" w:hAnsi="宋体" w:eastAsia="宋体" w:cs="宋体"/>
                <w:b w:val="0"/>
                <w:bCs w:val="0"/>
                <w:color w:val="000000"/>
                <w:kern w:val="0"/>
                <w:sz w:val="24"/>
                <w:szCs w:val="24"/>
                <w:highlight w:val="none"/>
                <w:lang w:val="en-US" w:eastAsia="zh-CN"/>
              </w:rPr>
              <w:t>或其配件</w:t>
            </w:r>
            <w:r>
              <w:rPr>
                <w:rFonts w:hint="eastAsia" w:ascii="宋体" w:hAnsi="宋体" w:eastAsia="宋体" w:cs="宋体"/>
                <w:b w:val="0"/>
                <w:bCs w:val="0"/>
                <w:color w:val="000000"/>
                <w:kern w:val="0"/>
                <w:sz w:val="24"/>
                <w:szCs w:val="24"/>
                <w:highlight w:val="none"/>
              </w:rPr>
              <w:t>销售业绩不少于2份，合同额累计不少于</w:t>
            </w:r>
            <w:r>
              <w:rPr>
                <w:rFonts w:hint="eastAsia" w:ascii="宋体" w:hAnsi="宋体" w:eastAsia="宋体" w:cs="宋体"/>
                <w:b w:val="0"/>
                <w:bCs w:val="0"/>
                <w:color w:val="000000"/>
                <w:kern w:val="0"/>
                <w:sz w:val="24"/>
                <w:szCs w:val="24"/>
                <w:highlight w:val="none"/>
                <w:lang w:val="en-US" w:eastAsia="zh-CN"/>
              </w:rPr>
              <w:t>80</w:t>
            </w:r>
            <w:r>
              <w:rPr>
                <w:rFonts w:hint="eastAsia" w:ascii="宋体" w:hAnsi="宋体" w:eastAsia="宋体" w:cs="宋体"/>
                <w:b w:val="0"/>
                <w:bCs w:val="0"/>
                <w:color w:val="000000"/>
                <w:kern w:val="0"/>
                <w:sz w:val="24"/>
                <w:szCs w:val="24"/>
                <w:highlight w:val="none"/>
              </w:rPr>
              <w:t>万元。注：业绩必须提供对应的合同复印件、发票和相应查验截图。</w:t>
            </w:r>
          </w:p>
        </w:tc>
      </w:tr>
      <w:tr w14:paraId="4CC8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4BE12E2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70B04FDA">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安全单元模块</w:t>
            </w:r>
          </w:p>
        </w:tc>
        <w:tc>
          <w:tcPr>
            <w:tcW w:w="0" w:type="auto"/>
            <w:shd w:val="clear" w:color="auto" w:fill="auto"/>
            <w:noWrap w:val="0"/>
            <w:vAlign w:val="center"/>
          </w:tcPr>
          <w:p w14:paraId="4BC3095E">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安全认证模块，</w:t>
            </w:r>
            <w:r>
              <w:rPr>
                <w:rFonts w:hint="eastAsia" w:ascii="宋体" w:hAnsi="宋体" w:eastAsia="宋体" w:cs="宋体"/>
                <w:sz w:val="24"/>
                <w:szCs w:val="24"/>
                <w:highlight w:val="none"/>
              </w:rPr>
              <w:t>支持国密SM1、SM2、SM3、SM</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、SM7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SM9</w:t>
            </w:r>
            <w:r>
              <w:rPr>
                <w:rFonts w:hint="eastAsia" w:ascii="宋体" w:hAnsi="宋体" w:eastAsia="宋体" w:cs="宋体"/>
                <w:sz w:val="24"/>
                <w:szCs w:val="24"/>
                <w:highlight w:val="none"/>
              </w:rPr>
              <w:t>算法的</w:t>
            </w:r>
            <w:r>
              <w:rPr>
                <w:rFonts w:hint="eastAsia" w:ascii="宋体" w:hAnsi="宋体" w:eastAsia="宋体" w:cs="宋体"/>
                <w:sz w:val="24"/>
                <w:szCs w:val="24"/>
                <w:highlight w:val="none"/>
                <w:lang w:val="en-US" w:eastAsia="zh-CN"/>
              </w:rPr>
              <w:t>计量通信认证</w:t>
            </w:r>
            <w:r>
              <w:rPr>
                <w:rFonts w:hint="eastAsia" w:ascii="宋体" w:hAnsi="宋体" w:eastAsia="宋体" w:cs="宋体"/>
                <w:sz w:val="24"/>
                <w:szCs w:val="24"/>
                <w:highlight w:val="none"/>
              </w:rPr>
              <w:t>模块</w:t>
            </w:r>
            <w:r>
              <w:rPr>
                <w:rFonts w:hint="eastAsia" w:ascii="宋体" w:hAnsi="宋体" w:eastAsia="宋体" w:cs="宋体"/>
                <w:sz w:val="24"/>
                <w:szCs w:val="24"/>
                <w:highlight w:val="none"/>
                <w:lang w:val="en-US" w:eastAsia="zh-CN"/>
              </w:rPr>
              <w:t>或</w:t>
            </w:r>
            <w:r>
              <w:rPr>
                <w:rFonts w:hint="eastAsia" w:ascii="宋体" w:hAnsi="宋体" w:eastAsia="宋体" w:cs="宋体"/>
                <w:sz w:val="24"/>
                <w:szCs w:val="24"/>
                <w:highlight w:val="none"/>
              </w:rPr>
              <w:t>安装支持国密SM1、SM2、SM3、SM7算法的</w:t>
            </w:r>
            <w:r>
              <w:rPr>
                <w:rFonts w:hint="eastAsia" w:ascii="宋体" w:hAnsi="宋体" w:eastAsia="宋体" w:cs="宋体"/>
                <w:sz w:val="24"/>
                <w:szCs w:val="24"/>
                <w:highlight w:val="none"/>
                <w:lang w:val="en-US" w:eastAsia="zh-CN"/>
              </w:rPr>
              <w:t>计量通信认证</w:t>
            </w:r>
            <w:r>
              <w:rPr>
                <w:rFonts w:hint="eastAsia" w:ascii="宋体" w:hAnsi="宋体" w:eastAsia="宋体" w:cs="宋体"/>
                <w:sz w:val="24"/>
                <w:szCs w:val="24"/>
                <w:highlight w:val="none"/>
              </w:rPr>
              <w:t>模块以及支持国网SM4安全软算法模块</w:t>
            </w:r>
            <w:r>
              <w:rPr>
                <w:rFonts w:hint="eastAsia" w:ascii="宋体" w:hAnsi="宋体" w:eastAsia="宋体" w:cs="宋体"/>
                <w:sz w:val="24"/>
                <w:szCs w:val="24"/>
                <w:highlight w:val="none"/>
                <w:lang w:eastAsia="zh-CN"/>
              </w:rPr>
              <w:t>；</w:t>
            </w:r>
          </w:p>
          <w:p w14:paraId="11074F8A">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具有防止手机背夹内信息泄露的功能；</w:t>
            </w:r>
          </w:p>
          <w:p w14:paraId="21CD11CA">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具有防止借助手机背夹攻击管理系统的功能。</w:t>
            </w:r>
          </w:p>
        </w:tc>
        <w:tc>
          <w:tcPr>
            <w:tcW w:w="0" w:type="auto"/>
            <w:shd w:val="clear" w:color="000000" w:fill="FFFFFF"/>
            <w:noWrap w:val="0"/>
            <w:vAlign w:val="center"/>
          </w:tcPr>
          <w:p w14:paraId="17CD3FE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118BA61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600</w:t>
            </w:r>
          </w:p>
        </w:tc>
        <w:tc>
          <w:tcPr>
            <w:tcW w:w="0" w:type="auto"/>
            <w:noWrap w:val="0"/>
            <w:vAlign w:val="center"/>
          </w:tcPr>
          <w:p w14:paraId="71ACC62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接到供货通知后30日内</w:t>
            </w:r>
          </w:p>
        </w:tc>
        <w:tc>
          <w:tcPr>
            <w:tcW w:w="0" w:type="auto"/>
            <w:noWrap w:val="0"/>
            <w:vAlign w:val="center"/>
          </w:tcPr>
          <w:p w14:paraId="1DF322C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rPr>
              <w:t>36个月</w:t>
            </w:r>
          </w:p>
        </w:tc>
        <w:tc>
          <w:tcPr>
            <w:tcW w:w="0" w:type="auto"/>
            <w:noWrap w:val="0"/>
            <w:vAlign w:val="center"/>
          </w:tcPr>
          <w:p w14:paraId="7B1AEF1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0" w:type="auto"/>
            <w:vMerge w:val="continue"/>
            <w:noWrap w:val="0"/>
            <w:vAlign w:val="center"/>
          </w:tcPr>
          <w:p w14:paraId="23482D0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183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08D531E5">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67ABA31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FF0000"/>
                <w:kern w:val="0"/>
                <w:sz w:val="24"/>
                <w:szCs w:val="24"/>
                <w:highlight w:val="none"/>
                <w:lang w:val="en-US" w:eastAsia="zh-CN"/>
              </w:rPr>
            </w:pPr>
            <w:r>
              <w:rPr>
                <w:rFonts w:hint="eastAsia" w:ascii="宋体" w:hAnsi="宋体" w:eastAsia="宋体" w:cs="宋体"/>
                <w:sz w:val="24"/>
                <w:szCs w:val="24"/>
                <w:highlight w:val="none"/>
              </w:rPr>
              <w:t>调制</w:t>
            </w:r>
            <w:r>
              <w:rPr>
                <w:rFonts w:hint="eastAsia" w:ascii="宋体" w:hAnsi="宋体" w:eastAsia="宋体" w:cs="宋体"/>
                <w:sz w:val="24"/>
                <w:szCs w:val="24"/>
                <w:highlight w:val="none"/>
                <w:lang w:val="en-US" w:eastAsia="zh-CN"/>
              </w:rPr>
              <w:t>远</w:t>
            </w:r>
            <w:r>
              <w:rPr>
                <w:rFonts w:hint="eastAsia" w:ascii="宋体" w:hAnsi="宋体" w:eastAsia="宋体" w:cs="宋体"/>
                <w:sz w:val="24"/>
                <w:szCs w:val="24"/>
                <w:highlight w:val="none"/>
              </w:rPr>
              <w:t>红外</w:t>
            </w:r>
            <w:r>
              <w:rPr>
                <w:rFonts w:hint="eastAsia" w:ascii="宋体" w:hAnsi="宋体" w:eastAsia="宋体" w:cs="宋体"/>
                <w:sz w:val="24"/>
                <w:szCs w:val="24"/>
                <w:highlight w:val="none"/>
                <w:lang w:val="en-US" w:eastAsia="zh-CN"/>
              </w:rPr>
              <w:t>模块</w:t>
            </w:r>
          </w:p>
        </w:tc>
        <w:tc>
          <w:tcPr>
            <w:tcW w:w="0" w:type="auto"/>
            <w:shd w:val="clear" w:color="auto" w:fill="auto"/>
            <w:noWrap w:val="0"/>
            <w:vAlign w:val="center"/>
          </w:tcPr>
          <w:p w14:paraId="2109E253">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红外发射管载波中心频率为38kHz±1kHz；</w:t>
            </w:r>
          </w:p>
          <w:p w14:paraId="66E25A9E">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发射管红外波长为940nm；</w:t>
            </w:r>
          </w:p>
          <w:p w14:paraId="4D52BF50">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红外发射管有效角度为±17°；</w:t>
            </w:r>
          </w:p>
          <w:p w14:paraId="4066E175">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红外接收管的载波解调中心频率为38kHz±1kHz；</w:t>
            </w:r>
          </w:p>
          <w:p w14:paraId="372C5EC6">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接收管有效响应的红外波长范围为900nm～1000nm；</w:t>
            </w:r>
          </w:p>
          <w:p w14:paraId="4EB040A6">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红外接收管的接收范围角度为±45°；</w:t>
            </w:r>
          </w:p>
          <w:p w14:paraId="6600B665">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红外接受距离应不小于5m；</w:t>
            </w:r>
          </w:p>
          <w:p w14:paraId="37E7ED15">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传输波特率支持1200、2400；</w:t>
            </w:r>
          </w:p>
          <w:p w14:paraId="0B5167CF">
            <w:pPr>
              <w:pStyle w:val="6"/>
              <w:keepNext w:val="0"/>
              <w:keepLines w:val="0"/>
              <w:pageBreakBefore w:val="0"/>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调制红外硬件模块应与背夹(平放)的顶部铅锤面应呈-13°夹角</w:t>
            </w:r>
            <w:r>
              <w:rPr>
                <w:rFonts w:hint="eastAsia" w:ascii="宋体" w:hAnsi="宋体" w:eastAsia="宋体" w:cs="宋体"/>
                <w:sz w:val="24"/>
                <w:szCs w:val="24"/>
                <w:highlight w:val="none"/>
                <w:lang w:eastAsia="zh-CN"/>
              </w:rPr>
              <w:t>。</w:t>
            </w:r>
          </w:p>
        </w:tc>
        <w:tc>
          <w:tcPr>
            <w:tcW w:w="0" w:type="auto"/>
            <w:shd w:val="clear" w:color="000000" w:fill="FFFFFF"/>
            <w:noWrap w:val="0"/>
            <w:vAlign w:val="center"/>
          </w:tcPr>
          <w:p w14:paraId="47AB1AD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201CE99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600</w:t>
            </w:r>
          </w:p>
        </w:tc>
        <w:tc>
          <w:tcPr>
            <w:tcW w:w="0" w:type="auto"/>
            <w:noWrap w:val="0"/>
            <w:vAlign w:val="center"/>
          </w:tcPr>
          <w:p w14:paraId="63792C3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接到供货通知后30日内</w:t>
            </w:r>
          </w:p>
        </w:tc>
        <w:tc>
          <w:tcPr>
            <w:tcW w:w="0" w:type="auto"/>
            <w:noWrap w:val="0"/>
            <w:vAlign w:val="center"/>
          </w:tcPr>
          <w:p w14:paraId="0FEFB17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rPr>
              <w:t>36个月</w:t>
            </w:r>
          </w:p>
        </w:tc>
        <w:tc>
          <w:tcPr>
            <w:tcW w:w="0" w:type="auto"/>
            <w:noWrap w:val="0"/>
            <w:vAlign w:val="center"/>
          </w:tcPr>
          <w:p w14:paraId="0E106AC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0" w:type="auto"/>
            <w:vMerge w:val="continue"/>
            <w:noWrap w:val="0"/>
            <w:vAlign w:val="center"/>
          </w:tcPr>
          <w:p w14:paraId="7D346D2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7079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17B9664C">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4B6723A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FF0000"/>
                <w:kern w:val="0"/>
                <w:sz w:val="24"/>
                <w:szCs w:val="24"/>
                <w:highlight w:val="none"/>
                <w:lang w:val="en-US" w:eastAsia="zh-CN"/>
              </w:rPr>
            </w:pPr>
            <w:r>
              <w:rPr>
                <w:rFonts w:hint="eastAsia" w:ascii="宋体" w:hAnsi="宋体" w:eastAsia="宋体" w:cs="宋体"/>
                <w:sz w:val="24"/>
                <w:szCs w:val="24"/>
                <w:highlight w:val="none"/>
              </w:rPr>
              <w:t>调制激光红外</w:t>
            </w:r>
            <w:r>
              <w:rPr>
                <w:rFonts w:hint="eastAsia" w:ascii="宋体" w:hAnsi="宋体" w:eastAsia="宋体" w:cs="宋体"/>
                <w:sz w:val="24"/>
                <w:szCs w:val="24"/>
                <w:highlight w:val="none"/>
                <w:lang w:val="en-US" w:eastAsia="zh-CN"/>
              </w:rPr>
              <w:t>模块</w:t>
            </w:r>
          </w:p>
        </w:tc>
        <w:tc>
          <w:tcPr>
            <w:tcW w:w="0" w:type="auto"/>
            <w:shd w:val="clear" w:color="auto" w:fill="auto"/>
            <w:noWrap w:val="0"/>
            <w:vAlign w:val="center"/>
          </w:tcPr>
          <w:p w14:paraId="0F0EE719">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红外激光发射管的波长应为980nm±15nm；</w:t>
            </w:r>
          </w:p>
          <w:p w14:paraId="5D8D66F2">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光学输出功率不大于7mW；</w:t>
            </w:r>
          </w:p>
          <w:p w14:paraId="299D79FE">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激光有效光斑应满足1m处直径不大于12cm、3m处直径不大于14 cm、5m处直径不大于18 cm；</w:t>
            </w:r>
          </w:p>
          <w:p w14:paraId="2B90C553">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辅助瞄准红色激光波长应为650nm，瞄准红色光斑中心点与激光红外光斑中心点距离在1m处不大于1.5cm、3m处不大于2cm、5m处不大于3cm；</w:t>
            </w:r>
          </w:p>
          <w:p w14:paraId="63D71E63">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sz w:val="24"/>
                <w:szCs w:val="24"/>
                <w:highlight w:val="none"/>
              </w:rPr>
              <w:t>调制激光红外硬件模块应与背夹(平放)的顶部铅锤面应呈-13°夹角</w:t>
            </w:r>
            <w:r>
              <w:rPr>
                <w:rFonts w:hint="eastAsia" w:ascii="宋体" w:hAnsi="宋体" w:eastAsia="宋体" w:cs="宋体"/>
                <w:sz w:val="24"/>
                <w:szCs w:val="24"/>
                <w:highlight w:val="none"/>
                <w:lang w:eastAsia="zh-CN"/>
              </w:rPr>
              <w:t>。</w:t>
            </w:r>
          </w:p>
        </w:tc>
        <w:tc>
          <w:tcPr>
            <w:tcW w:w="0" w:type="auto"/>
            <w:shd w:val="clear" w:color="000000" w:fill="FFFFFF"/>
            <w:noWrap w:val="0"/>
            <w:vAlign w:val="center"/>
          </w:tcPr>
          <w:p w14:paraId="384B767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214C4D6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600</w:t>
            </w:r>
          </w:p>
        </w:tc>
        <w:tc>
          <w:tcPr>
            <w:tcW w:w="0" w:type="auto"/>
            <w:noWrap w:val="0"/>
            <w:vAlign w:val="center"/>
          </w:tcPr>
          <w:p w14:paraId="79E5F05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接到供货通知后30日内</w:t>
            </w:r>
          </w:p>
        </w:tc>
        <w:tc>
          <w:tcPr>
            <w:tcW w:w="0" w:type="auto"/>
            <w:noWrap w:val="0"/>
            <w:vAlign w:val="center"/>
          </w:tcPr>
          <w:p w14:paraId="09345FC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rPr>
              <w:t>36个月</w:t>
            </w:r>
          </w:p>
        </w:tc>
        <w:tc>
          <w:tcPr>
            <w:tcW w:w="0" w:type="auto"/>
            <w:noWrap w:val="0"/>
            <w:vAlign w:val="center"/>
          </w:tcPr>
          <w:p w14:paraId="7A02CFF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0" w:type="auto"/>
            <w:vMerge w:val="continue"/>
            <w:noWrap w:val="0"/>
            <w:vAlign w:val="center"/>
          </w:tcPr>
          <w:p w14:paraId="3684F545">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47D1A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63A3032A">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55B3EB7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FF0000"/>
                <w:kern w:val="0"/>
                <w:sz w:val="24"/>
                <w:szCs w:val="24"/>
                <w:highlight w:val="none"/>
                <w:lang w:val="en-US" w:eastAsia="zh-CN"/>
              </w:rPr>
            </w:pPr>
            <w:r>
              <w:rPr>
                <w:rFonts w:hint="eastAsia" w:ascii="宋体" w:hAnsi="宋体" w:eastAsia="宋体" w:cs="宋体"/>
                <w:sz w:val="24"/>
                <w:szCs w:val="24"/>
                <w:highlight w:val="none"/>
              </w:rPr>
              <w:t>公网无线通信</w:t>
            </w:r>
            <w:r>
              <w:rPr>
                <w:rFonts w:hint="eastAsia" w:ascii="宋体" w:hAnsi="宋体" w:eastAsia="宋体" w:cs="宋体"/>
                <w:sz w:val="24"/>
                <w:szCs w:val="24"/>
                <w:highlight w:val="none"/>
                <w:lang w:val="en-US" w:eastAsia="zh-CN"/>
              </w:rPr>
              <w:t>模块</w:t>
            </w:r>
          </w:p>
        </w:tc>
        <w:tc>
          <w:tcPr>
            <w:tcW w:w="0" w:type="auto"/>
            <w:shd w:val="clear" w:color="auto" w:fill="auto"/>
            <w:noWrap w:val="0"/>
            <w:vAlign w:val="center"/>
          </w:tcPr>
          <w:p w14:paraId="2624E380">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符合国家相关入网检验标准；</w:t>
            </w:r>
          </w:p>
          <w:p w14:paraId="4B4C8A5B">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支持Nano SIM卡；</w:t>
            </w:r>
          </w:p>
          <w:p w14:paraId="692734E4">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支持热点功能，热点功能采用2.4G/5G 双频段，支持 802.11a/b/g/n/ac，最高速率至150Mbps，通讯距离大于10米；</w:t>
            </w:r>
          </w:p>
          <w:p w14:paraId="5095E986">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i w:val="0"/>
                <w:iCs w:val="0"/>
                <w:color w:val="FF0000"/>
                <w:kern w:val="0"/>
                <w:sz w:val="24"/>
                <w:szCs w:val="24"/>
                <w:highlight w:val="none"/>
                <w:u w:val="none"/>
                <w:lang w:val="en-US" w:eastAsia="zh-CN" w:bidi="ar"/>
              </w:rPr>
            </w:pPr>
            <w:r>
              <w:rPr>
                <w:rFonts w:hint="eastAsia" w:ascii="宋体" w:hAnsi="宋体" w:eastAsia="宋体" w:cs="宋体"/>
                <w:sz w:val="24"/>
                <w:szCs w:val="24"/>
                <w:highlight w:val="none"/>
              </w:rPr>
              <w:t xml:space="preserve">支持TD-LTE（CAT4）、FDD-LTE、NR等网络制式。 </w:t>
            </w:r>
          </w:p>
        </w:tc>
        <w:tc>
          <w:tcPr>
            <w:tcW w:w="0" w:type="auto"/>
            <w:shd w:val="clear" w:color="000000" w:fill="FFFFFF"/>
            <w:noWrap w:val="0"/>
            <w:vAlign w:val="center"/>
          </w:tcPr>
          <w:p w14:paraId="2E20CA2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162D664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600</w:t>
            </w:r>
          </w:p>
        </w:tc>
        <w:tc>
          <w:tcPr>
            <w:tcW w:w="0" w:type="auto"/>
            <w:noWrap w:val="0"/>
            <w:vAlign w:val="center"/>
          </w:tcPr>
          <w:p w14:paraId="447E4DC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接到供货通知后30日内</w:t>
            </w:r>
          </w:p>
        </w:tc>
        <w:tc>
          <w:tcPr>
            <w:tcW w:w="0" w:type="auto"/>
            <w:noWrap w:val="0"/>
            <w:vAlign w:val="center"/>
          </w:tcPr>
          <w:p w14:paraId="6B108E1D">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rPr>
              <w:t>36个月</w:t>
            </w:r>
          </w:p>
        </w:tc>
        <w:tc>
          <w:tcPr>
            <w:tcW w:w="0" w:type="auto"/>
            <w:noWrap w:val="0"/>
            <w:vAlign w:val="center"/>
          </w:tcPr>
          <w:p w14:paraId="3F42AFF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0" w:type="auto"/>
            <w:vMerge w:val="continue"/>
            <w:noWrap w:val="0"/>
            <w:vAlign w:val="center"/>
          </w:tcPr>
          <w:p w14:paraId="1ED7BF7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6525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7E00F1EE">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53ECDC1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FF0000"/>
                <w:kern w:val="0"/>
                <w:sz w:val="24"/>
                <w:szCs w:val="24"/>
                <w:highlight w:val="none"/>
                <w:lang w:val="en-US" w:eastAsia="zh-CN"/>
              </w:rPr>
            </w:pPr>
            <w:r>
              <w:rPr>
                <w:rFonts w:hint="eastAsia" w:ascii="宋体" w:hAnsi="宋体" w:eastAsia="宋体" w:cs="宋体"/>
                <w:sz w:val="24"/>
                <w:szCs w:val="24"/>
                <w:highlight w:val="none"/>
              </w:rPr>
              <w:t>条码扫描</w:t>
            </w:r>
            <w:r>
              <w:rPr>
                <w:rFonts w:hint="eastAsia" w:ascii="宋体" w:hAnsi="宋体" w:eastAsia="宋体" w:cs="宋体"/>
                <w:sz w:val="24"/>
                <w:szCs w:val="24"/>
                <w:highlight w:val="none"/>
                <w:lang w:val="en-US" w:eastAsia="zh-CN"/>
              </w:rPr>
              <w:t>模块</w:t>
            </w:r>
          </w:p>
        </w:tc>
        <w:tc>
          <w:tcPr>
            <w:tcW w:w="0" w:type="auto"/>
            <w:shd w:val="clear" w:color="auto" w:fill="auto"/>
            <w:noWrap w:val="0"/>
            <w:vAlign w:val="center"/>
          </w:tcPr>
          <w:p w14:paraId="62D28267">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支持一维、二维专业条码扫描；</w:t>
            </w:r>
          </w:p>
          <w:p w14:paraId="2A9E6393">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条码扫描硬件模块应与背夹(平放)的顶部铅锤面应呈-13°夹角；</w:t>
            </w:r>
          </w:p>
          <w:p w14:paraId="4917A3B3">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码制符合Q/GDW 10205标准要求。</w:t>
            </w:r>
          </w:p>
        </w:tc>
        <w:tc>
          <w:tcPr>
            <w:tcW w:w="0" w:type="auto"/>
            <w:shd w:val="clear" w:color="000000" w:fill="FFFFFF"/>
            <w:noWrap w:val="0"/>
            <w:vAlign w:val="center"/>
          </w:tcPr>
          <w:p w14:paraId="26B78737">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7B85F0F0">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600</w:t>
            </w:r>
          </w:p>
        </w:tc>
        <w:tc>
          <w:tcPr>
            <w:tcW w:w="0" w:type="auto"/>
            <w:noWrap w:val="0"/>
            <w:vAlign w:val="center"/>
          </w:tcPr>
          <w:p w14:paraId="2E8C0D7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接到供货通知后30日内</w:t>
            </w:r>
          </w:p>
        </w:tc>
        <w:tc>
          <w:tcPr>
            <w:tcW w:w="0" w:type="auto"/>
            <w:noWrap w:val="0"/>
            <w:vAlign w:val="center"/>
          </w:tcPr>
          <w:p w14:paraId="66392C6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rPr>
              <w:t>36个月</w:t>
            </w:r>
          </w:p>
        </w:tc>
        <w:tc>
          <w:tcPr>
            <w:tcW w:w="0" w:type="auto"/>
            <w:noWrap w:val="0"/>
            <w:vAlign w:val="center"/>
          </w:tcPr>
          <w:p w14:paraId="10A084E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0" w:type="auto"/>
            <w:vMerge w:val="continue"/>
            <w:noWrap w:val="0"/>
            <w:vAlign w:val="center"/>
          </w:tcPr>
          <w:p w14:paraId="0535976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5D9E2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79A84E30">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48A1B7D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FF0000"/>
                <w:kern w:val="0"/>
                <w:sz w:val="24"/>
                <w:szCs w:val="24"/>
                <w:highlight w:val="none"/>
                <w:lang w:val="en-US" w:eastAsia="zh-CN"/>
              </w:rPr>
            </w:pPr>
            <w:r>
              <w:rPr>
                <w:rFonts w:hint="eastAsia" w:ascii="宋体" w:hAnsi="宋体" w:eastAsia="宋体" w:cs="宋体"/>
                <w:sz w:val="24"/>
                <w:szCs w:val="24"/>
                <w:highlight w:val="none"/>
              </w:rPr>
              <w:t>蓝牙通信</w:t>
            </w:r>
            <w:r>
              <w:rPr>
                <w:rFonts w:hint="eastAsia" w:ascii="宋体" w:hAnsi="宋体" w:eastAsia="宋体" w:cs="宋体"/>
                <w:sz w:val="24"/>
                <w:szCs w:val="24"/>
                <w:highlight w:val="none"/>
                <w:lang w:val="en-US" w:eastAsia="zh-CN"/>
              </w:rPr>
              <w:t>模块</w:t>
            </w:r>
          </w:p>
        </w:tc>
        <w:tc>
          <w:tcPr>
            <w:tcW w:w="0" w:type="auto"/>
            <w:shd w:val="clear" w:color="auto" w:fill="auto"/>
            <w:noWrap w:val="0"/>
            <w:vAlign w:val="center"/>
          </w:tcPr>
          <w:p w14:paraId="571476A5">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蓝牙模块需通过密服平台授权的出厂秘钥与i国网安全插件进行通讯连接适配。</w:t>
            </w:r>
          </w:p>
          <w:p w14:paraId="4D24A365">
            <w:pPr>
              <w:pStyle w:val="16"/>
              <w:keepNext w:val="0"/>
              <w:keepLines w:val="0"/>
              <w:pageBreakBefore w:val="0"/>
              <w:numPr>
                <w:ilvl w:val="0"/>
                <w:numId w:val="0"/>
              </w:numPr>
              <w:kinsoku/>
              <w:wordWrap/>
              <w:overflowPunct/>
              <w:topLinePunct w:val="0"/>
              <w:autoSpaceDE/>
              <w:autoSpaceDN/>
              <w:bidi w:val="0"/>
              <w:adjustRightInd/>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蓝牙通信协议支持V</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.0-EDR及以上版本；功率级别Class 2小于4dBm，连接距离不小于10m。</w:t>
            </w:r>
          </w:p>
        </w:tc>
        <w:tc>
          <w:tcPr>
            <w:tcW w:w="0" w:type="auto"/>
            <w:shd w:val="clear" w:color="000000" w:fill="FFFFFF"/>
            <w:noWrap w:val="0"/>
            <w:vAlign w:val="center"/>
          </w:tcPr>
          <w:p w14:paraId="02CE5EE1">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1147AAB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600</w:t>
            </w:r>
          </w:p>
        </w:tc>
        <w:tc>
          <w:tcPr>
            <w:tcW w:w="0" w:type="auto"/>
            <w:noWrap w:val="0"/>
            <w:vAlign w:val="center"/>
          </w:tcPr>
          <w:p w14:paraId="3F01AD78">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接到供货通知后30日内</w:t>
            </w:r>
          </w:p>
        </w:tc>
        <w:tc>
          <w:tcPr>
            <w:tcW w:w="0" w:type="auto"/>
            <w:noWrap w:val="0"/>
            <w:vAlign w:val="center"/>
          </w:tcPr>
          <w:p w14:paraId="47DC79E2">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rPr>
              <w:t>36个月</w:t>
            </w:r>
          </w:p>
        </w:tc>
        <w:tc>
          <w:tcPr>
            <w:tcW w:w="0" w:type="auto"/>
            <w:noWrap w:val="0"/>
            <w:vAlign w:val="center"/>
          </w:tcPr>
          <w:p w14:paraId="31EC09C6">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0" w:type="auto"/>
            <w:vMerge w:val="continue"/>
            <w:noWrap w:val="0"/>
            <w:vAlign w:val="center"/>
          </w:tcPr>
          <w:p w14:paraId="3D378D3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r w14:paraId="4393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noWrap w:val="0"/>
            <w:vAlign w:val="center"/>
          </w:tcPr>
          <w:p w14:paraId="627D8EC7">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c>
          <w:tcPr>
            <w:tcW w:w="0" w:type="auto"/>
            <w:shd w:val="clear" w:color="auto" w:fill="auto"/>
            <w:noWrap w:val="0"/>
            <w:vAlign w:val="center"/>
          </w:tcPr>
          <w:p w14:paraId="678A6CAB">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设备外壳模块</w:t>
            </w:r>
          </w:p>
        </w:tc>
        <w:tc>
          <w:tcPr>
            <w:tcW w:w="0" w:type="auto"/>
            <w:shd w:val="clear" w:color="auto" w:fill="auto"/>
            <w:noWrap w:val="0"/>
            <w:vAlign w:val="center"/>
          </w:tcPr>
          <w:p w14:paraId="2780B395">
            <w:pPr>
              <w:keepNext w:val="0"/>
              <w:keepLines w:val="0"/>
              <w:pageBreakBefore w:val="0"/>
              <w:kinsoku/>
              <w:wordWrap/>
              <w:overflowPunct/>
              <w:topLinePunct w:val="0"/>
              <w:autoSpaceDE/>
              <w:autoSpaceDN/>
              <w:bidi w:val="0"/>
              <w:adjustRightInd/>
              <w:snapToGrid w:val="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含单片机控制板、外壳按键、LCD屏幕、电池，射频天线等组件；外壳主体不大于L162*W75*H16mm。</w:t>
            </w:r>
          </w:p>
        </w:tc>
        <w:tc>
          <w:tcPr>
            <w:tcW w:w="0" w:type="auto"/>
            <w:shd w:val="clear" w:color="000000" w:fill="FFFFFF"/>
            <w:noWrap w:val="0"/>
            <w:vAlign w:val="center"/>
          </w:tcPr>
          <w:p w14:paraId="11BCE01F">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个</w:t>
            </w:r>
          </w:p>
        </w:tc>
        <w:tc>
          <w:tcPr>
            <w:tcW w:w="0" w:type="auto"/>
            <w:shd w:val="clear" w:color="000000" w:fill="FFFFFF"/>
            <w:noWrap w:val="0"/>
            <w:vAlign w:val="center"/>
          </w:tcPr>
          <w:p w14:paraId="45BEA299">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600</w:t>
            </w:r>
          </w:p>
        </w:tc>
        <w:tc>
          <w:tcPr>
            <w:tcW w:w="0" w:type="auto"/>
            <w:noWrap w:val="0"/>
            <w:vAlign w:val="center"/>
          </w:tcPr>
          <w:p w14:paraId="5167CC8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kern w:val="0"/>
                <w:sz w:val="24"/>
                <w:szCs w:val="24"/>
                <w:highlight w:val="none"/>
                <w:u w:val="none"/>
              </w:rPr>
              <w:t>接到供货通知后30日内</w:t>
            </w:r>
          </w:p>
        </w:tc>
        <w:tc>
          <w:tcPr>
            <w:tcW w:w="0" w:type="auto"/>
            <w:noWrap w:val="0"/>
            <w:vAlign w:val="center"/>
          </w:tcPr>
          <w:p w14:paraId="01115B8C">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u w:val="none"/>
              </w:rPr>
              <w:t>36个月</w:t>
            </w:r>
          </w:p>
        </w:tc>
        <w:tc>
          <w:tcPr>
            <w:tcW w:w="0" w:type="auto"/>
            <w:noWrap w:val="0"/>
            <w:vAlign w:val="center"/>
          </w:tcPr>
          <w:p w14:paraId="2D867513">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rPr>
              <w:t>买方指定地点</w:t>
            </w:r>
          </w:p>
        </w:tc>
        <w:tc>
          <w:tcPr>
            <w:tcW w:w="0" w:type="auto"/>
            <w:vMerge w:val="continue"/>
            <w:noWrap w:val="0"/>
            <w:vAlign w:val="center"/>
          </w:tcPr>
          <w:p w14:paraId="2828A58A">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color w:val="000000"/>
                <w:kern w:val="0"/>
                <w:sz w:val="24"/>
                <w:szCs w:val="24"/>
                <w:highlight w:val="none"/>
              </w:rPr>
            </w:pPr>
          </w:p>
        </w:tc>
      </w:tr>
    </w:tbl>
    <w:p w14:paraId="4919CF95">
      <w:pPr>
        <w:pStyle w:val="17"/>
        <w:ind w:left="-357" w:leftChars="-170" w:firstLine="440"/>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具体供货不局限于上述产品。应包括上述产品相关配件，类似升级产品。</w:t>
      </w:r>
    </w:p>
    <w:p w14:paraId="1875D37D">
      <w:pPr>
        <w:pStyle w:val="14"/>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50DBF502">
      <w:pPr>
        <w:pStyle w:val="14"/>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41E96B4">
      <w:pPr>
        <w:rPr>
          <w:rFonts w:hint="eastAsia" w:ascii="宋体" w:hAnsi="宋体" w:eastAsia="宋体" w:cs="宋体"/>
          <w:sz w:val="24"/>
          <w:szCs w:val="24"/>
          <w:highlight w:val="none"/>
        </w:rPr>
      </w:pPr>
      <w:r>
        <w:rPr>
          <w:rFonts w:hint="eastAsia" w:ascii="宋体" w:hAnsi="宋体" w:eastAsia="宋体" w:cs="宋体"/>
          <w:sz w:val="24"/>
          <w:szCs w:val="24"/>
          <w:highlight w:val="none"/>
        </w:rPr>
        <w:t>2.投标文件中提供的证明材料复印件应复印清晰、可辨认且不得遮盖、涂抹，否则视为无效。</w:t>
      </w:r>
    </w:p>
    <w:p w14:paraId="5ECD6C8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27150E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29DF5">
    <w:pPr>
      <w:pStyle w:val="7"/>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F5E744">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6F5E744">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29941369">
                          <w:pPr>
                            <w:pStyle w:val="7"/>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29941369">
                    <w:pPr>
                      <w:pStyle w:val="7"/>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6267F4A"/>
    <w:rsid w:val="17252504"/>
    <w:rsid w:val="17832749"/>
    <w:rsid w:val="188E6C44"/>
    <w:rsid w:val="18E776A7"/>
    <w:rsid w:val="22BC120E"/>
    <w:rsid w:val="22F71DBE"/>
    <w:rsid w:val="26BD5819"/>
    <w:rsid w:val="28455ABC"/>
    <w:rsid w:val="2EBF6414"/>
    <w:rsid w:val="3A2F2590"/>
    <w:rsid w:val="3ABD302C"/>
    <w:rsid w:val="42CE694E"/>
    <w:rsid w:val="44B95B56"/>
    <w:rsid w:val="4AA15384"/>
    <w:rsid w:val="4ABD7A75"/>
    <w:rsid w:val="4D2E620D"/>
    <w:rsid w:val="4F403134"/>
    <w:rsid w:val="50E64EAF"/>
    <w:rsid w:val="50EC207F"/>
    <w:rsid w:val="511E0452"/>
    <w:rsid w:val="51340035"/>
    <w:rsid w:val="516A3318"/>
    <w:rsid w:val="637846F9"/>
    <w:rsid w:val="668F4233"/>
    <w:rsid w:val="699B2708"/>
    <w:rsid w:val="6B0F6C92"/>
    <w:rsid w:val="6B8F54C3"/>
    <w:rsid w:val="72A11576"/>
    <w:rsid w:val="762519CD"/>
    <w:rsid w:val="76785CA1"/>
    <w:rsid w:val="77C16217"/>
    <w:rsid w:val="7B032401"/>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Plain Text"/>
    <w:basedOn w:val="1"/>
    <w:autoRedefine/>
    <w:qFormat/>
    <w:uiPriority w:val="0"/>
    <w:rPr>
      <w:rFonts w:ascii="宋体" w:hAnsi="Courier New"/>
      <w:kern w:val="0"/>
      <w:sz w:val="20"/>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autoRedefine/>
    <w:qFormat/>
    <w:uiPriority w:val="0"/>
    <w:pPr>
      <w:ind w:firstLine="420"/>
    </w:pPr>
  </w:style>
  <w:style w:type="character" w:styleId="12">
    <w:name w:val="Hyperlink"/>
    <w:autoRedefine/>
    <w:qFormat/>
    <w:uiPriority w:val="99"/>
    <w:rPr>
      <w:color w:val="0000FF"/>
      <w:u w:val="single"/>
    </w:rPr>
  </w:style>
  <w:style w:type="paragraph" w:customStyle="1" w:styleId="13">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4">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5">
    <w:name w:val="No Spacing"/>
    <w:autoRedefine/>
    <w:qFormat/>
    <w:uiPriority w:val="1"/>
    <w:rPr>
      <w:rFonts w:ascii="宋体" w:hAnsi="宋体" w:eastAsia="宋体" w:cs="宋体"/>
      <w:kern w:val="0"/>
      <w:sz w:val="24"/>
      <w:szCs w:val="24"/>
      <w:lang w:val="en-US" w:eastAsia="zh-CN" w:bidi="ar-SA"/>
    </w:rPr>
  </w:style>
  <w:style w:type="paragraph" w:customStyle="1" w:styleId="16">
    <w:name w:val="字母编号列项（一级）"/>
    <w:autoRedefine/>
    <w:qFormat/>
    <w:uiPriority w:val="0"/>
    <w:pPr>
      <w:tabs>
        <w:tab w:val="left" w:pos="839"/>
      </w:tabs>
      <w:ind w:left="227" w:hanging="227"/>
      <w:jc w:val="both"/>
    </w:pPr>
    <w:rPr>
      <w:rFonts w:ascii="宋体" w:hAnsi="Times New Roman" w:eastAsia="宋体" w:cs="Times New Roman"/>
      <w:sz w:val="21"/>
      <w:lang w:val="en-US" w:eastAsia="zh-CN" w:bidi="ar-SA"/>
    </w:rPr>
  </w:style>
  <w:style w:type="paragraph" w:styleId="17">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6130</Words>
  <Characters>6909</Characters>
  <Lines>0</Lines>
  <Paragraphs>0</Paragraphs>
  <TotalTime>1</TotalTime>
  <ScaleCrop>false</ScaleCrop>
  <LinksUpToDate>false</LinksUpToDate>
  <CharactersWithSpaces>6945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怎么</cp:lastModifiedBy>
  <dcterms:modified xsi:type="dcterms:W3CDTF">2025-05-22T07:20:30Z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02C130547F7244ACB0066162B844627A_13</vt:lpwstr>
  </property>
  <property fmtid="{D5CDD505-2E9C-101B-9397-08002B2CF9AE}" pid="4" name="KSOTemplateDocerSaveRecord">
    <vt:lpwstr>eyJoZGlkIjoiMjkxZjg0N2YzZWU5MjNlMzUxZWI3MTU1ODhiNWEwMjYiLCJ1c2VySWQiOiIxMTM4OTkxNTIyIn0=</vt:lpwstr>
  </property>
</Properties>
</file>