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rPr>
        <w:t xml:space="preserve">附件1   </w:t>
      </w:r>
      <w:bookmarkStart w:id="2" w:name="_GoBack"/>
      <w:r>
        <w:rPr>
          <w:rFonts w:hint="eastAsia" w:ascii="宋体" w:hAnsi="宋体" w:eastAsia="宋体" w:cs="宋体"/>
          <w:b/>
          <w:bCs w:val="0"/>
          <w:i w:val="0"/>
          <w:iCs w:val="0"/>
          <w:sz w:val="21"/>
          <w:szCs w:val="21"/>
          <w:highlight w:val="none"/>
          <w:u w:val="none"/>
        </w:rPr>
        <w:t>招标需求一览表</w:t>
      </w:r>
      <w:bookmarkEnd w:id="2"/>
      <w:r>
        <w:rPr>
          <w:rFonts w:hint="eastAsia" w:ascii="宋体" w:hAnsi="宋体" w:eastAsia="宋体" w:cs="宋体"/>
          <w:b/>
          <w:bCs w:val="0"/>
          <w:i w:val="0"/>
          <w:iCs w:val="0"/>
          <w:sz w:val="21"/>
          <w:szCs w:val="21"/>
          <w:highlight w:val="none"/>
          <w:u w:val="none"/>
        </w:rPr>
        <w:br w:type="textWrapping"/>
      </w:r>
      <w:r>
        <w:rPr>
          <w:rFonts w:hint="eastAsia" w:ascii="宋体" w:hAnsi="宋体" w:eastAsia="宋体" w:cs="宋体"/>
          <w:b/>
          <w:bCs w:val="0"/>
          <w:i w:val="0"/>
          <w:iCs w:val="0"/>
          <w:sz w:val="21"/>
          <w:szCs w:val="21"/>
          <w:highlight w:val="none"/>
          <w:u w:val="none"/>
          <w:lang w:val="en-US" w:eastAsia="zh-CN"/>
        </w:rPr>
        <w:t>分标一：配电设备技改施工劳务分包项目</w:t>
      </w:r>
    </w:p>
    <w:tbl>
      <w:tblPr>
        <w:tblStyle w:val="8"/>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063"/>
        <w:gridCol w:w="4203"/>
        <w:gridCol w:w="782"/>
        <w:gridCol w:w="804"/>
        <w:gridCol w:w="927"/>
        <w:gridCol w:w="2219"/>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9" w:type="dxa"/>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63"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4203"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82"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04"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27"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219"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专用</w:t>
            </w:r>
            <w:r>
              <w:rPr>
                <w:rFonts w:hint="eastAsia" w:ascii="宋体" w:hAnsi="宋体" w:eastAsia="宋体" w:cs="宋体"/>
                <w:b/>
                <w:bCs/>
                <w:kern w:val="0"/>
                <w:sz w:val="24"/>
                <w:szCs w:val="24"/>
                <w:highlight w:val="none"/>
                <w:lang w:val="en-US" w:eastAsia="zh-CN"/>
              </w:rPr>
              <w:t>资格</w:t>
            </w:r>
            <w:r>
              <w:rPr>
                <w:rFonts w:hint="eastAsia" w:ascii="宋体" w:hAnsi="宋体" w:eastAsia="宋体" w:cs="宋体"/>
                <w:b/>
                <w:bCs/>
                <w:kern w:val="0"/>
                <w:sz w:val="24"/>
                <w:szCs w:val="24"/>
                <w:highlight w:val="none"/>
              </w:rPr>
              <w:t>要求</w:t>
            </w:r>
          </w:p>
        </w:tc>
        <w:tc>
          <w:tcPr>
            <w:tcW w:w="3442"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专用</w:t>
            </w:r>
            <w:r>
              <w:rPr>
                <w:rFonts w:hint="eastAsia" w:ascii="宋体" w:hAnsi="宋体" w:eastAsia="宋体" w:cs="宋体"/>
                <w:b/>
                <w:bCs/>
                <w:kern w:val="0"/>
                <w:sz w:val="24"/>
                <w:szCs w:val="24"/>
                <w:highlight w:val="none"/>
                <w:lang w:val="en-US" w:eastAsia="zh-CN"/>
              </w:rPr>
              <w:t>业绩</w:t>
            </w:r>
            <w:r>
              <w:rPr>
                <w:rFonts w:hint="eastAsia" w:ascii="宋体" w:hAnsi="宋体" w:eastAsia="宋体" w:cs="宋体"/>
                <w:b/>
                <w:bCs/>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配电设备技改施工劳务分包项目（包</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w:t>
            </w:r>
          </w:p>
        </w:tc>
        <w:tc>
          <w:tcPr>
            <w:tcW w:w="4203"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6500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219"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具有有效的安全生产许可证；</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2.具有建设行政主管部门核发的施工劳务企业资质。</w:t>
            </w:r>
          </w:p>
        </w:tc>
        <w:tc>
          <w:tcPr>
            <w:tcW w:w="3442"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配电设备技改施工劳务分包项目（包</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w:t>
            </w:r>
          </w:p>
        </w:tc>
        <w:tc>
          <w:tcPr>
            <w:tcW w:w="4203"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5500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219"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具有有效的安全生产许可证；</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2.具有建设行政主管部门核发的施工劳务企业资质。</w:t>
            </w:r>
          </w:p>
        </w:tc>
        <w:tc>
          <w:tcPr>
            <w:tcW w:w="3442"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配电设备技改施工劳务分包项目（包</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w:t>
            </w:r>
          </w:p>
        </w:tc>
        <w:tc>
          <w:tcPr>
            <w:tcW w:w="4203"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219"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具有有效的安全生产许可证；</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2.具有建设行政主管部门核发的施工劳务企业资质。</w:t>
            </w:r>
          </w:p>
        </w:tc>
        <w:tc>
          <w:tcPr>
            <w:tcW w:w="3442"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配电设备技改施工劳务分包项目（包</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配电设备技改施工劳务分包</w:t>
            </w:r>
          </w:p>
        </w:tc>
        <w:tc>
          <w:tcPr>
            <w:tcW w:w="4203"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219"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具有有效的安全生产许可证；</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2.具有建设行政主管部门核发的施工劳务企业资质。</w:t>
            </w:r>
          </w:p>
        </w:tc>
        <w:tc>
          <w:tcPr>
            <w:tcW w:w="3442"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2021年1月1日至招标采购公告发布日止，投标方完成过劳务业绩不少于1份。注：业绩必须提供对应的合同复印件、发票和相应查验截图。</w:t>
            </w:r>
          </w:p>
        </w:tc>
      </w:tr>
    </w:tbl>
    <w:p>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具体服务不局限于上述</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需求一览表。应包括上述服务相关延伸服务及产品，类似升级服务及相关产品。</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6"/>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400" w:lineRule="exact"/>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二</w:t>
      </w:r>
      <w:r>
        <w:rPr>
          <w:rFonts w:hint="eastAsia" w:ascii="宋体" w:hAnsi="宋体" w:eastAsia="宋体" w:cs="宋体"/>
          <w:b/>
          <w:bCs w:val="0"/>
          <w:i w:val="0"/>
          <w:iCs w:val="0"/>
          <w:sz w:val="21"/>
          <w:szCs w:val="21"/>
          <w:highlight w:val="none"/>
          <w:u w:val="none"/>
          <w:lang w:val="en-US" w:eastAsia="zh-CN"/>
        </w:rPr>
        <w:t>：配电设备大修工程劳务分包项目</w:t>
      </w:r>
    </w:p>
    <w:tbl>
      <w:tblPr>
        <w:tblStyle w:val="8"/>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063"/>
        <w:gridCol w:w="4357"/>
        <w:gridCol w:w="782"/>
        <w:gridCol w:w="804"/>
        <w:gridCol w:w="927"/>
        <w:gridCol w:w="2448"/>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39" w:type="dxa"/>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63"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4357"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82"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04"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27"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448"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专用</w:t>
            </w:r>
            <w:r>
              <w:rPr>
                <w:rFonts w:hint="eastAsia" w:ascii="宋体" w:hAnsi="宋体" w:eastAsia="宋体" w:cs="宋体"/>
                <w:b/>
                <w:bCs/>
                <w:kern w:val="0"/>
                <w:sz w:val="24"/>
                <w:szCs w:val="24"/>
                <w:highlight w:val="none"/>
                <w:lang w:val="en-US" w:eastAsia="zh-CN"/>
              </w:rPr>
              <w:t>资格</w:t>
            </w:r>
            <w:r>
              <w:rPr>
                <w:rFonts w:hint="eastAsia" w:ascii="宋体" w:hAnsi="宋体" w:eastAsia="宋体" w:cs="宋体"/>
                <w:b/>
                <w:bCs/>
                <w:kern w:val="0"/>
                <w:sz w:val="24"/>
                <w:szCs w:val="24"/>
                <w:highlight w:val="none"/>
              </w:rPr>
              <w:t>要求</w:t>
            </w:r>
          </w:p>
        </w:tc>
        <w:tc>
          <w:tcPr>
            <w:tcW w:w="3329"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专用</w:t>
            </w:r>
            <w:r>
              <w:rPr>
                <w:rFonts w:hint="eastAsia" w:ascii="宋体" w:hAnsi="宋体" w:eastAsia="宋体" w:cs="宋体"/>
                <w:b/>
                <w:bCs/>
                <w:kern w:val="0"/>
                <w:sz w:val="24"/>
                <w:szCs w:val="24"/>
                <w:highlight w:val="none"/>
                <w:lang w:val="en-US" w:eastAsia="zh-CN"/>
              </w:rPr>
              <w:t>业绩</w:t>
            </w:r>
            <w:r>
              <w:rPr>
                <w:rFonts w:hint="eastAsia" w:ascii="宋体" w:hAnsi="宋体" w:eastAsia="宋体" w:cs="宋体"/>
                <w:b/>
                <w:bCs/>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配电设备大修工程劳务分包项目（包</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w:t>
            </w:r>
          </w:p>
        </w:tc>
        <w:tc>
          <w:tcPr>
            <w:tcW w:w="435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448"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numPr>
                <w:ilvl w:val="0"/>
                <w:numId w:val="0"/>
              </w:numPr>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具有有效的安全生产许可证；</w:t>
            </w:r>
          </w:p>
          <w:p>
            <w:pPr>
              <w:widowControl/>
              <w:numPr>
                <w:ilvl w:val="0"/>
                <w:numId w:val="0"/>
              </w:numPr>
              <w:jc w:val="left"/>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具有建设行政主管部门核发的施工劳务企业资质。</w:t>
            </w:r>
          </w:p>
        </w:tc>
        <w:tc>
          <w:tcPr>
            <w:tcW w:w="3329"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配电设备大修工程劳务分包项目（包</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w:t>
            </w:r>
          </w:p>
        </w:tc>
        <w:tc>
          <w:tcPr>
            <w:tcW w:w="435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448"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numPr>
                <w:ilvl w:val="0"/>
                <w:numId w:val="0"/>
              </w:numPr>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具有有效的安全生产许可证；</w:t>
            </w:r>
          </w:p>
          <w:p>
            <w:pPr>
              <w:widowControl/>
              <w:numPr>
                <w:ilvl w:val="0"/>
                <w:numId w:val="0"/>
              </w:numPr>
              <w:ind w:left="0" w:leftChars="0" w:firstLine="0" w:firstLineChars="0"/>
              <w:jc w:val="left"/>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具有建设行政主管部门核发的施工劳务企业资质。</w:t>
            </w:r>
          </w:p>
        </w:tc>
        <w:tc>
          <w:tcPr>
            <w:tcW w:w="3329"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配电设备大修工程劳务分包项目（包</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w:t>
            </w:r>
          </w:p>
        </w:tc>
        <w:tc>
          <w:tcPr>
            <w:tcW w:w="435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448"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numPr>
                <w:ilvl w:val="0"/>
                <w:numId w:val="0"/>
              </w:numPr>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具有有效的安全生产许可证；</w:t>
            </w:r>
          </w:p>
          <w:p>
            <w:pPr>
              <w:widowControl/>
              <w:numPr>
                <w:ilvl w:val="0"/>
                <w:numId w:val="0"/>
              </w:numPr>
              <w:ind w:left="0" w:leftChars="0" w:firstLine="0" w:firstLineChars="0"/>
              <w:jc w:val="left"/>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具有建设行政主管部门核发的施工劳务企业资质。</w:t>
            </w:r>
          </w:p>
        </w:tc>
        <w:tc>
          <w:tcPr>
            <w:tcW w:w="3329"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配电设备大修工程劳务分包项目（包</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w:t>
            </w:r>
          </w:p>
        </w:tc>
        <w:tc>
          <w:tcPr>
            <w:tcW w:w="435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448"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numPr>
                <w:ilvl w:val="0"/>
                <w:numId w:val="0"/>
              </w:numPr>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具有有效的安全生产许可证；</w:t>
            </w:r>
          </w:p>
          <w:p>
            <w:pPr>
              <w:widowControl/>
              <w:numPr>
                <w:ilvl w:val="0"/>
                <w:numId w:val="0"/>
              </w:numPr>
              <w:ind w:left="0" w:leftChars="0" w:firstLine="0" w:firstLineChars="0"/>
              <w:jc w:val="left"/>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具有建设行政主管部门核发的施工劳务企业资质。</w:t>
            </w:r>
          </w:p>
        </w:tc>
        <w:tc>
          <w:tcPr>
            <w:tcW w:w="3329"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2021年1月1日至招标采购公告发布日止，投标方完成过劳务业绩不少于1份。注：业绩必须提供对应的合同复印件、发票和相应查验截图。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239" w:type="dxa"/>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配电设备大修工程劳务分包项目（包</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rPr>
              <w:t>）</w:t>
            </w:r>
          </w:p>
        </w:tc>
        <w:tc>
          <w:tcPr>
            <w:tcW w:w="1063"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配电设备大修工程劳务分包</w:t>
            </w:r>
          </w:p>
        </w:tc>
        <w:tc>
          <w:tcPr>
            <w:tcW w:w="435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10kV及以下配电线路、台区等技改施工（包含配电室、配变类、配电开关、环网柜（箱）、高、低压开关柜、电缆分支箱、低压综合配电箱等技改劳务工作，通过甲方验收。</w:t>
            </w:r>
          </w:p>
        </w:tc>
        <w:tc>
          <w:tcPr>
            <w:tcW w:w="782" w:type="dxa"/>
            <w:shd w:val="clear" w:color="000000" w:fill="FFFFFF"/>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804"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00</w:t>
            </w:r>
          </w:p>
        </w:tc>
        <w:tc>
          <w:tcPr>
            <w:tcW w:w="927"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工期以甲方通知为准</w:t>
            </w:r>
          </w:p>
        </w:tc>
        <w:tc>
          <w:tcPr>
            <w:tcW w:w="2448" w:type="dxa"/>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有效的资质等级证书</w:t>
            </w:r>
            <w:r>
              <w:rPr>
                <w:rFonts w:hint="eastAsia" w:ascii="宋体" w:hAnsi="宋体" w:eastAsia="宋体" w:cs="宋体"/>
                <w:sz w:val="24"/>
                <w:szCs w:val="24"/>
                <w:highlight w:val="none"/>
                <w:lang w:eastAsia="zh-CN"/>
              </w:rPr>
              <w:t>：</w:t>
            </w:r>
          </w:p>
          <w:p>
            <w:pPr>
              <w:widowControl/>
              <w:numPr>
                <w:ilvl w:val="0"/>
                <w:numId w:val="0"/>
              </w:numPr>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具有有效的安全生产许可证；</w:t>
            </w:r>
          </w:p>
          <w:p>
            <w:pPr>
              <w:widowControl/>
              <w:numPr>
                <w:ilvl w:val="0"/>
                <w:numId w:val="0"/>
              </w:numPr>
              <w:ind w:left="0" w:leftChars="0" w:firstLine="0" w:firstLineChars="0"/>
              <w:jc w:val="left"/>
              <w:rPr>
                <w:rFonts w:hint="eastAsia" w:ascii="宋体" w:hAnsi="宋体" w:eastAsia="宋体" w:cs="宋体"/>
                <w:sz w:val="24"/>
                <w:szCs w:val="24"/>
                <w:highlight w:val="none"/>
              </w:rPr>
            </w:pP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具有建设行政主管部门核发的施工劳务企业资质。</w:t>
            </w:r>
          </w:p>
        </w:tc>
        <w:tc>
          <w:tcPr>
            <w:tcW w:w="3329"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kern w:val="0"/>
                <w:sz w:val="24"/>
                <w:szCs w:val="24"/>
                <w:highlight w:val="none"/>
              </w:rPr>
              <w:t>2021年1月1日至招标采购公告发布日止，投标方完成过劳务业绩不少于1份。注：业绩必须提供对应的合同复印件、发票和相应查验截图。</w:t>
            </w:r>
          </w:p>
        </w:tc>
      </w:tr>
    </w:tbl>
    <w:p>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具体服务不局限于上述</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需求一览表。应包括上述服务相关延伸服务及产品，类似升级服务及相关产品。</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6"/>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400" w:lineRule="exact"/>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三</w:t>
      </w:r>
      <w:r>
        <w:rPr>
          <w:rFonts w:hint="eastAsia" w:ascii="宋体" w:hAnsi="宋体" w:eastAsia="宋体" w:cs="宋体"/>
          <w:b/>
          <w:bCs w:val="0"/>
          <w:i w:val="0"/>
          <w:iCs w:val="0"/>
          <w:sz w:val="21"/>
          <w:szCs w:val="21"/>
          <w:highlight w:val="none"/>
          <w:u w:val="none"/>
          <w:lang w:val="en-US" w:eastAsia="zh-CN"/>
        </w:rPr>
        <w:t>：配电设备技改施工挖掘机等租赁项目</w:t>
      </w:r>
    </w:p>
    <w:tbl>
      <w:tblPr>
        <w:tblStyle w:val="8"/>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90"/>
        <w:gridCol w:w="6476"/>
        <w:gridCol w:w="1050"/>
        <w:gridCol w:w="943"/>
        <w:gridCol w:w="122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3" w:type="dxa"/>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190"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6476"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050"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943"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228"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1915"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专用</w:t>
            </w:r>
            <w:r>
              <w:rPr>
                <w:rFonts w:hint="eastAsia" w:ascii="宋体" w:hAnsi="宋体" w:eastAsia="宋体" w:cs="宋体"/>
                <w:b/>
                <w:bCs/>
                <w:kern w:val="0"/>
                <w:sz w:val="24"/>
                <w:szCs w:val="24"/>
                <w:highlight w:val="none"/>
                <w:lang w:val="en-US" w:eastAsia="zh-CN"/>
              </w:rPr>
              <w:t>业绩</w:t>
            </w:r>
            <w:r>
              <w:rPr>
                <w:rFonts w:hint="eastAsia" w:ascii="宋体" w:hAnsi="宋体" w:eastAsia="宋体" w:cs="宋体"/>
                <w:b/>
                <w:bCs/>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配电设备技改施工挖掘机等租赁项目（包</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restart"/>
            <w:shd w:val="clear" w:color="auto" w:fill="auto"/>
            <w:vAlign w:val="center"/>
          </w:tcPr>
          <w:p>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2100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配电设备技改施工挖掘机等租赁项目（包</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5600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1960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1120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1120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1120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686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686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700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配电设备技改施工挖掘机等租赁项目（包</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2800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343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343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配电设备技改施工挖掘机等租赁项目（包</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6476"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294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294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6476"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915" w:type="dxa"/>
            <w:vMerge w:val="continue"/>
            <w:shd w:val="clear" w:color="auto" w:fill="auto"/>
            <w:vAlign w:val="center"/>
          </w:tcPr>
          <w:p>
            <w:pPr>
              <w:widowControl/>
              <w:jc w:val="center"/>
              <w:rPr>
                <w:rFonts w:hint="eastAsia" w:ascii="宋体" w:hAnsi="宋体" w:eastAsia="宋体" w:cs="宋体"/>
                <w:sz w:val="24"/>
                <w:szCs w:val="24"/>
                <w:highlight w:val="none"/>
              </w:rPr>
            </w:pPr>
          </w:p>
        </w:tc>
      </w:tr>
    </w:tbl>
    <w:p>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具体服务不局限于上述</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需求一览表。应包括上述服务相关延伸服务及产品，类似升级服务及相关产品。</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6"/>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400" w:lineRule="exact"/>
        <w:rPr>
          <w:rFonts w:hint="eastAsia" w:ascii="宋体" w:hAnsi="宋体" w:eastAsia="宋体" w:cs="宋体"/>
          <w:b/>
          <w:bCs w:val="0"/>
          <w:i w:val="0"/>
          <w:iCs w:val="0"/>
          <w:sz w:val="21"/>
          <w:szCs w:val="21"/>
          <w:highlight w:val="none"/>
          <w:u w:val="none"/>
          <w:lang w:val="en-US" w:eastAsia="zh-CN"/>
        </w:rPr>
      </w:pPr>
      <w:r>
        <w:rPr>
          <w:rFonts w:hint="eastAsia" w:ascii="宋体" w:hAnsi="宋体" w:eastAsia="宋体" w:cs="宋体"/>
          <w:b/>
          <w:bCs w:val="0"/>
          <w:i w:val="0"/>
          <w:iCs w:val="0"/>
          <w:sz w:val="21"/>
          <w:szCs w:val="21"/>
          <w:highlight w:val="none"/>
          <w:u w:val="none"/>
          <w:lang w:val="en-US" w:eastAsia="zh-CN"/>
        </w:rPr>
        <w:t>分标</w:t>
      </w:r>
      <w:r>
        <w:rPr>
          <w:rFonts w:hint="eastAsia" w:ascii="宋体" w:hAnsi="宋体" w:cs="宋体"/>
          <w:b/>
          <w:bCs w:val="0"/>
          <w:i w:val="0"/>
          <w:iCs w:val="0"/>
          <w:sz w:val="21"/>
          <w:szCs w:val="21"/>
          <w:highlight w:val="none"/>
          <w:u w:val="none"/>
          <w:lang w:val="en-US" w:eastAsia="zh-CN"/>
        </w:rPr>
        <w:t>四</w:t>
      </w:r>
      <w:r>
        <w:rPr>
          <w:rFonts w:hint="eastAsia" w:ascii="宋体" w:hAnsi="宋体" w:eastAsia="宋体" w:cs="宋体"/>
          <w:b/>
          <w:bCs w:val="0"/>
          <w:i w:val="0"/>
          <w:iCs w:val="0"/>
          <w:sz w:val="21"/>
          <w:szCs w:val="21"/>
          <w:highlight w:val="none"/>
          <w:u w:val="none"/>
          <w:lang w:val="en-US" w:eastAsia="zh-CN"/>
        </w:rPr>
        <w:t>：配电设备大修施工多种机械租赁项目</w:t>
      </w:r>
    </w:p>
    <w:tbl>
      <w:tblPr>
        <w:tblStyle w:val="8"/>
        <w:tblW w:w="14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90"/>
        <w:gridCol w:w="7324"/>
        <w:gridCol w:w="1050"/>
        <w:gridCol w:w="943"/>
        <w:gridCol w:w="1228"/>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953" w:type="dxa"/>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190"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7324"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050"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943"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228" w:type="dxa"/>
            <w:shd w:val="clear" w:color="auto" w:fill="auto"/>
            <w:vAlign w:val="center"/>
          </w:tcPr>
          <w:p>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1801" w:type="dxa"/>
            <w:shd w:val="clear" w:color="auto" w:fill="auto"/>
            <w:vAlign w:val="center"/>
          </w:tcPr>
          <w:p>
            <w:pPr>
              <w:widowControl/>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配电设备大修施工多种机械租赁项目（包</w:t>
            </w:r>
            <w:r>
              <w:rPr>
                <w:rFonts w:hint="eastAsia" w:ascii="宋体" w:hAnsi="宋体" w:cs="宋体"/>
                <w:sz w:val="24"/>
                <w:szCs w:val="24"/>
                <w:highlight w:val="none"/>
                <w:lang w:val="en-US" w:eastAsia="zh-CN"/>
              </w:rPr>
              <w:t>01</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restart"/>
            <w:shd w:val="clear" w:color="auto" w:fill="auto"/>
            <w:vAlign w:val="center"/>
          </w:tcPr>
          <w:p>
            <w:pPr>
              <w:widowControl/>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w:t>
            </w:r>
            <w:r>
              <w:rPr>
                <w:rFonts w:hint="eastAsia" w:ascii="宋体" w:hAnsi="宋体" w:eastAsia="宋体" w:cs="宋体"/>
                <w:color w:val="000000" w:themeColor="text1"/>
                <w:kern w:val="0"/>
                <w:sz w:val="24"/>
                <w:szCs w:val="24"/>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焊接机必须符合国家相关标准，各项性能良好，年限小于两年；租赁期间，维护、保养等一切费用由租赁公司承担。光纤传输激光焊接机。</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539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539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550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配电设备大修施工多种机械租赁项目（包</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w:t>
            </w:r>
            <w:r>
              <w:rPr>
                <w:rFonts w:hint="eastAsia" w:ascii="宋体" w:hAnsi="宋体" w:eastAsia="宋体" w:cs="宋体"/>
                <w:color w:val="000000" w:themeColor="text1"/>
                <w:kern w:val="0"/>
                <w:sz w:val="24"/>
                <w:szCs w:val="24"/>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焊接机必须符合国家相关标准，各项性能良好，年限小于两年；租赁期间，维护、保养等一切费用由租赁公司承担。光纤传输激光焊接机。</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490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490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500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配电设备大修施工多种机械租赁项目（包</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w:t>
            </w:r>
            <w:r>
              <w:rPr>
                <w:rFonts w:hint="eastAsia" w:ascii="宋体" w:hAnsi="宋体" w:eastAsia="宋体" w:cs="宋体"/>
                <w:color w:val="000000" w:themeColor="text1"/>
                <w:kern w:val="0"/>
                <w:sz w:val="24"/>
                <w:szCs w:val="24"/>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焊接机必须符合国家相关标准，各项性能良好，年限小于两年；租赁期间，维护、保养等一切费用由租赁公司承担。光纤传输激光焊接机。</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441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441</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450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配电设备大修施工多种机械租赁项目（包</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3200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w:t>
            </w:r>
            <w:r>
              <w:rPr>
                <w:rFonts w:hint="eastAsia" w:ascii="宋体" w:hAnsi="宋体" w:eastAsia="宋体" w:cs="宋体"/>
                <w:color w:val="000000" w:themeColor="text1"/>
                <w:kern w:val="0"/>
                <w:sz w:val="24"/>
                <w:szCs w:val="24"/>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1120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焊接机必须符合国家相关标准，各项性能良好，年限小于两年；租赁期间，维护、保养等一切费用由租赁公司承担。光纤传输激光焊接机。</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392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392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restart"/>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配电设备大修施工多种机械租赁项目（包</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rPr>
              <w:t>）</w:t>
            </w: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2400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restart"/>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完成过与招标项目相类似的同等或以上技术要求的项目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2021年1月1日至招标采购公告发布日止，投标方完成过设备租赁服务业绩不少于1份。注：业绩必须提供对应的合同复印件、发票和相应查验</w:t>
            </w:r>
            <w:r>
              <w:rPr>
                <w:rFonts w:hint="eastAsia" w:ascii="宋体" w:hAnsi="宋体" w:eastAsia="宋体" w:cs="宋体"/>
                <w:color w:val="000000" w:themeColor="text1"/>
                <w:kern w:val="0"/>
                <w:sz w:val="24"/>
                <w:szCs w:val="24"/>
                <w:highlight w:val="none"/>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720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16T吊车租赁（含驾驶员）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75T吊车租赁（含驾驶员）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300T吊车租赁（含驾驶员）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85型挖掘机租赁（含驾驶员）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150型挖掘机租赁（含驾驶员）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200型挖掘机租赁（含驾驶员）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260型挖掘机租赁（含驾驶员）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320型挖掘机租赁（含驾驶员）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360型挖掘机租赁（含驾驶员）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运输拖拉机租赁（含驾驶员）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放线拖拉机租赁（含驾驶员）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840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3吨叉车租赁（含驾驶员）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5吨叉车租赁（含驾驶员）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8吨叉车租赁（含驾驶员）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液压打桩机</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打桩机必须符合国家相关标准，各项性能良好，年限小于两年；租赁期间，维护、保养等一切费用由租赁公司承担。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台/米</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升降车租赁（含驾驶员）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曲臂车租赁（含驾驶员）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驾驶员、维修、加油、保险一切费用均由出租方承担、承租方只支付租金。</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台班</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电动轿货两用车租赁（含驾驶员）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客货两用车租赁（含驾驶员）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小型客车9座租赁（含驾驶员）（含）以下</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中型客车（10座-19座）租赁（含驾驶员）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大型客车20座（含）以上租赁（含驾驶员）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单排货车租赁（含驾驶员）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双排货车租赁（含驾驶员）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箱式货车租赁（含驾驶员）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随车起重机（8吨）租赁（含驾驶员）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随车起重机（12吨）租赁（含驾驶员）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随车起重机（16吨）租赁（含驾驶员）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7米货车租赁（含驾驶员）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10米货车租赁（含驾驶员）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13米货车租赁（含驾驶员）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半挂货车租赁（含驾驶员）</w:t>
            </w:r>
          </w:p>
        </w:tc>
        <w:tc>
          <w:tcPr>
            <w:tcW w:w="7324" w:type="dxa"/>
            <w:shd w:val="clear" w:color="auto" w:fill="auto"/>
            <w:vAlign w:val="center"/>
          </w:tcPr>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24小时之内均可在市区行驶，需加装车辆GPS（运输车辆），并提供GPS定位监控平台（运输车辆），不具备以上条件的车辆不予承租。</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车辆租赁期间，驾驶员费用、车辆维修、保养、燃油、保险等一切费用由租赁公司承担，车辆过桥过路费、高速路费、停车费由承租方承担。必须根据承租方要求将车辆停放在指定位置。</w:t>
            </w:r>
          </w:p>
        </w:tc>
        <w:tc>
          <w:tcPr>
            <w:tcW w:w="1050" w:type="dxa"/>
            <w:shd w:val="clear" w:color="000000" w:fill="FFFFFF"/>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辆/小时</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焊接机租赁</w:t>
            </w:r>
          </w:p>
        </w:tc>
        <w:tc>
          <w:tcPr>
            <w:tcW w:w="7324" w:type="dxa"/>
            <w:shd w:val="clear" w:color="auto" w:fill="auto"/>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焊接机必须符合国家相关标准，各项性能良好，年限小于两年；租赁期间，维护、保养等一切费用由租赁公司承担。光纤传输激光焊接机。</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294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熔接机租赁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熔接机必须符合国家相关标准，各项性能良好，年限小于两年；租赁期间，维护、保养等一切费用由租赁公司承担。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294</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953" w:type="dxa"/>
            <w:vMerge w:val="continue"/>
            <w:vAlign w:val="center"/>
          </w:tcPr>
          <w:p>
            <w:pPr>
              <w:widowControl/>
              <w:jc w:val="left"/>
              <w:rPr>
                <w:rFonts w:hint="eastAsia" w:ascii="宋体" w:hAnsi="宋体" w:eastAsia="宋体" w:cs="宋体"/>
                <w:sz w:val="24"/>
                <w:szCs w:val="24"/>
                <w:highlight w:val="none"/>
              </w:rPr>
            </w:pPr>
          </w:p>
        </w:tc>
        <w:tc>
          <w:tcPr>
            <w:tcW w:w="1190" w:type="dxa"/>
            <w:shd w:val="clear" w:color="auto" w:fill="auto"/>
            <w:vAlign w:val="center"/>
          </w:tcPr>
          <w:p>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破碎机租赁</w:t>
            </w:r>
          </w:p>
        </w:tc>
        <w:tc>
          <w:tcPr>
            <w:tcW w:w="7324" w:type="dxa"/>
            <w:shd w:val="clear" w:color="auto" w:fill="auto"/>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破碎机必须符合国家相关标准，各项性能良好，年限小于两年；租赁期间，维护、保养等一切费用由租赁公司承担。</w:t>
            </w:r>
          </w:p>
        </w:tc>
        <w:tc>
          <w:tcPr>
            <w:tcW w:w="1050" w:type="dxa"/>
            <w:shd w:val="clear" w:color="000000" w:fill="FFFFFF"/>
            <w:vAlign w:val="center"/>
          </w:tcPr>
          <w:p>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台/天</w:t>
            </w:r>
          </w:p>
        </w:tc>
        <w:tc>
          <w:tcPr>
            <w:tcW w:w="943" w:type="dxa"/>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1228" w:type="dxa"/>
            <w:shd w:val="clear" w:color="auto" w:fill="auto"/>
            <w:vAlign w:val="center"/>
          </w:tcPr>
          <w:p>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以甲方通知为准</w:t>
            </w:r>
          </w:p>
        </w:tc>
        <w:tc>
          <w:tcPr>
            <w:tcW w:w="1801" w:type="dxa"/>
            <w:vMerge w:val="continue"/>
            <w:shd w:val="clear" w:color="auto" w:fill="auto"/>
            <w:vAlign w:val="center"/>
          </w:tcPr>
          <w:p>
            <w:pPr>
              <w:widowControl/>
              <w:jc w:val="center"/>
              <w:rPr>
                <w:rFonts w:hint="eastAsia" w:ascii="宋体" w:hAnsi="宋体" w:eastAsia="宋体" w:cs="宋体"/>
                <w:sz w:val="24"/>
                <w:szCs w:val="24"/>
                <w:highlight w:val="none"/>
              </w:rPr>
            </w:pPr>
          </w:p>
        </w:tc>
      </w:tr>
    </w:tbl>
    <w:p>
      <w:pPr>
        <w:widowControl/>
        <w:jc w:val="lef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具体服务不局限于上述</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需求一览表。应包括上述服务相关延伸服务及产品，类似升级服务及相关产品。</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pPr>
        <w:pStyle w:val="16"/>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6"/>
        <w:spacing w:line="360" w:lineRule="auto"/>
        <w:rPr>
          <w:rFonts w:hint="eastAsia" w:ascii="宋体" w:hAnsi="宋体" w:eastAsia="宋体" w:cs="宋体"/>
          <w:b/>
          <w:bCs/>
          <w:color w:val="000000"/>
          <w:kern w:val="0"/>
          <w:sz w:val="24"/>
          <w:szCs w:val="24"/>
          <w:highlight w:val="none"/>
        </w:rPr>
      </w:pPr>
      <w:r>
        <w:rPr>
          <w:rFonts w:hint="eastAsia" w:ascii="宋体" w:hAnsi="宋体" w:eastAsia="宋体" w:cs="宋体"/>
          <w:b/>
          <w:sz w:val="24"/>
          <w:szCs w:val="24"/>
          <w:highlight w:val="none"/>
        </w:rPr>
        <w:t>附件2：</w:t>
      </w:r>
      <w:bookmarkStart w:id="0" w:name="_Hlk137887808"/>
      <w:r>
        <w:rPr>
          <w:rFonts w:hint="eastAsia" w:ascii="宋体" w:hAnsi="宋体" w:eastAsia="宋体" w:cs="宋体"/>
          <w:b/>
          <w:bCs/>
          <w:color w:val="000000"/>
          <w:kern w:val="0"/>
          <w:sz w:val="24"/>
          <w:szCs w:val="24"/>
          <w:highlight w:val="none"/>
        </w:rPr>
        <w:t>投标文件的递交及上传说明</w:t>
      </w:r>
      <w:bookmarkEnd w:id="0"/>
    </w:p>
    <w:p>
      <w:pPr>
        <w:keepNext w:val="0"/>
        <w:keepLines w:val="0"/>
        <w:pageBreakBefore w:val="0"/>
        <w:widowControl w:val="0"/>
        <w:kinsoku/>
        <w:wordWrap/>
        <w:overflowPunct/>
        <w:topLinePunct w:val="0"/>
        <w:autoSpaceDE/>
        <w:autoSpaceDN/>
        <w:bidi w:val="0"/>
        <w:spacing w:line="24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本项目仅接受电子投标文件（包括：国家电网有限公司电子商务平台-电工交易专区电子投标文件以及</w:t>
      </w:r>
      <w:r>
        <w:rPr>
          <w:rFonts w:hint="eastAsia" w:ascii="宋体" w:hAnsi="宋体" w:eastAsia="宋体" w:cs="宋体"/>
          <w:b/>
          <w:sz w:val="24"/>
          <w:szCs w:val="24"/>
          <w:highlight w:val="none"/>
          <w:lang w:val="en-US" w:eastAsia="zh-CN"/>
        </w:rPr>
        <w:t>供应链管理系统平台</w:t>
      </w:r>
      <w:r>
        <w:rPr>
          <w:rFonts w:hint="eastAsia" w:ascii="宋体" w:hAnsi="宋体" w:eastAsia="宋体" w:cs="宋体"/>
          <w:b/>
          <w:sz w:val="24"/>
          <w:szCs w:val="24"/>
          <w:highlight w:val="none"/>
        </w:rPr>
        <w:t>电子投标文件，2个系统电子投标文件均须在应答截止时间之前完成上传），不接受纸质、光盘等形式文件，不接受投标人到现场递交投标文件、投标文件的修改文件。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1.国家电网电子商务平台-电工交易专区电子投标文件：指投标人上传至招标人招投标信息系统（即国家电网有限公司电子商务平台-电工交易专区https://sgccetp.com.cn）的投标文件。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电子投标文件：指上传至“</w:t>
      </w:r>
      <w:r>
        <w:rPr>
          <w:rFonts w:hint="eastAsia" w:ascii="宋体" w:hAnsi="宋体" w:eastAsia="宋体" w:cs="宋体"/>
          <w:sz w:val="24"/>
          <w:szCs w:val="24"/>
          <w:highlight w:val="none"/>
          <w:lang w:val="en-US" w:eastAsia="zh-CN"/>
        </w:rPr>
        <w:t>国网智能科技股份有限公司供应链管理系统平台</w:t>
      </w:r>
      <w:r>
        <w:rPr>
          <w:rFonts w:hint="eastAsia" w:ascii="宋体" w:hAnsi="宋体" w:eastAsia="宋体" w:cs="宋体"/>
          <w:sz w:val="24"/>
          <w:szCs w:val="24"/>
          <w:highlight w:val="none"/>
        </w:rPr>
        <w:t>”（以下简称“</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”，网址：http://jypt.connectxun.com/）的投标文件。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3.电子投标文件的上传说明</w:t>
      </w:r>
    </w:p>
    <w:tbl>
      <w:tblPr>
        <w:tblStyle w:val="19"/>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4187"/>
        <w:gridCol w:w="768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2" w:type="pct"/>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电子投标文件内容</w:t>
            </w:r>
          </w:p>
        </w:tc>
        <w:tc>
          <w:tcPr>
            <w:tcW w:w="1477" w:type="pct"/>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文件上传要求</w:t>
            </w:r>
          </w:p>
        </w:tc>
        <w:tc>
          <w:tcPr>
            <w:tcW w:w="2711" w:type="pct"/>
            <w:vAlign w:val="center"/>
          </w:tcPr>
          <w:p>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3" w:hRule="atLeast"/>
          <w:tblHeader/>
          <w:jc w:val="center"/>
        </w:trPr>
        <w:tc>
          <w:tcPr>
            <w:tcW w:w="812" w:type="pc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w:t>
            </w:r>
          </w:p>
        </w:tc>
        <w:tc>
          <w:tcPr>
            <w:tcW w:w="1477" w:type="pct"/>
            <w:vAlign w:val="center"/>
          </w:tcPr>
          <w:p>
            <w:pPr>
              <w:adjustRightInd w:val="0"/>
              <w:snapToGrid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上传至招标人招投标信息系统（国家电网电子商务平台-电工交易专区）以及“</w:t>
            </w:r>
            <w:r>
              <w:rPr>
                <w:rFonts w:hint="eastAsia" w:ascii="宋体" w:hAnsi="宋体" w:eastAsia="宋体" w:cs="宋体"/>
                <w:b/>
                <w:sz w:val="24"/>
                <w:szCs w:val="24"/>
                <w:highlight w:val="none"/>
                <w:lang w:val="en-US" w:eastAsia="zh-CN"/>
              </w:rPr>
              <w:t>供应链管理系统平台</w:t>
            </w:r>
            <w:r>
              <w:rPr>
                <w:rFonts w:hint="eastAsia" w:ascii="宋体" w:hAnsi="宋体" w:eastAsia="宋体" w:cs="宋体"/>
                <w:b/>
                <w:sz w:val="24"/>
                <w:szCs w:val="24"/>
                <w:highlight w:val="none"/>
              </w:rPr>
              <w:t>”</w:t>
            </w:r>
          </w:p>
        </w:tc>
        <w:tc>
          <w:tcPr>
            <w:tcW w:w="2711" w:type="pc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报价文件包括报价文件（具体内容以招标文件规定为准）。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812" w:type="pc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技术文件</w:t>
            </w:r>
          </w:p>
        </w:tc>
        <w:tc>
          <w:tcPr>
            <w:tcW w:w="1477" w:type="pct"/>
            <w:vAlign w:val="center"/>
          </w:tcPr>
          <w:p>
            <w:pPr>
              <w:adjustRightInd w:val="0"/>
              <w:snapToGrid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上传至招标人招投标信息系统（国家电网电子商务平台-电工交易专区）以及“</w:t>
            </w:r>
            <w:r>
              <w:rPr>
                <w:rFonts w:hint="eastAsia" w:ascii="宋体" w:hAnsi="宋体" w:eastAsia="宋体" w:cs="宋体"/>
                <w:b/>
                <w:sz w:val="24"/>
                <w:szCs w:val="24"/>
                <w:highlight w:val="none"/>
                <w:lang w:val="en-US" w:eastAsia="zh-CN"/>
              </w:rPr>
              <w:t>供应链管理系统平台</w:t>
            </w:r>
            <w:r>
              <w:rPr>
                <w:rFonts w:hint="eastAsia" w:ascii="宋体" w:hAnsi="宋体" w:eastAsia="宋体" w:cs="宋体"/>
                <w:b/>
                <w:sz w:val="24"/>
                <w:szCs w:val="24"/>
                <w:highlight w:val="none"/>
              </w:rPr>
              <w:t>”</w:t>
            </w:r>
          </w:p>
        </w:tc>
        <w:tc>
          <w:tcPr>
            <w:tcW w:w="2711" w:type="pct"/>
            <w:vMerge w:val="restar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投标人应保证国家电网电子商务平台-电工交易专区电子投标文件和</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电子投标文件内容的一致性。如商务、技术投标文件中资质业绩投标文件支持证明材料较大无法上传至国家电网电子商务平台-电工交易专区系统，须在国家电网电子商务平台-电工交易专区系统上传投标文件（不含证明材料），并在国家电网电子商务平台-电工交易专区上传文件首页增加投标文件上传情况说明（详见附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：投标文件上传情况说明），</w:t>
            </w:r>
            <w:r>
              <w:rPr>
                <w:rFonts w:hint="eastAsia" w:ascii="宋体" w:hAnsi="宋体" w:eastAsia="宋体" w:cs="宋体"/>
                <w:b/>
                <w:color w:val="FF0000"/>
                <w:sz w:val="24"/>
                <w:szCs w:val="24"/>
                <w:highlight w:val="none"/>
              </w:rPr>
              <w:t>同时在</w:t>
            </w:r>
            <w:r>
              <w:rPr>
                <w:rFonts w:hint="eastAsia" w:ascii="宋体" w:hAnsi="宋体" w:eastAsia="宋体" w:cs="宋体"/>
                <w:b/>
                <w:color w:val="FF0000"/>
                <w:sz w:val="24"/>
                <w:szCs w:val="24"/>
                <w:highlight w:val="none"/>
                <w:lang w:val="en-US" w:eastAsia="zh-CN"/>
              </w:rPr>
              <w:t>供应链管理系统平台</w:t>
            </w:r>
            <w:r>
              <w:rPr>
                <w:rFonts w:hint="eastAsia" w:ascii="宋体" w:hAnsi="宋体" w:eastAsia="宋体" w:cs="宋体"/>
                <w:b/>
                <w:color w:val="FF0000"/>
                <w:sz w:val="24"/>
                <w:szCs w:val="24"/>
                <w:highlight w:val="none"/>
              </w:rPr>
              <w:t>按分包上传完整、清晰的签字、盖章版电子投标文件</w:t>
            </w:r>
            <w:r>
              <w:rPr>
                <w:rFonts w:hint="eastAsia" w:ascii="宋体" w:hAnsi="宋体" w:eastAsia="宋体" w:cs="宋体"/>
                <w:color w:val="FF0000"/>
                <w:sz w:val="24"/>
                <w:szCs w:val="24"/>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812" w:type="pct"/>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商务文件</w:t>
            </w:r>
          </w:p>
        </w:tc>
        <w:tc>
          <w:tcPr>
            <w:tcW w:w="1477" w:type="pct"/>
            <w:vAlign w:val="center"/>
          </w:tcPr>
          <w:p>
            <w:pPr>
              <w:adjustRightInd w:val="0"/>
              <w:snapToGrid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上传至招标人招投标信息系统（国家电网电子商务平台-电工交易专区）以及“</w:t>
            </w:r>
            <w:r>
              <w:rPr>
                <w:rFonts w:hint="eastAsia" w:ascii="宋体" w:hAnsi="宋体" w:eastAsia="宋体" w:cs="宋体"/>
                <w:b/>
                <w:sz w:val="24"/>
                <w:szCs w:val="24"/>
                <w:highlight w:val="none"/>
                <w:lang w:val="en-US" w:eastAsia="zh-CN"/>
              </w:rPr>
              <w:t>供应链管理系统平台</w:t>
            </w:r>
            <w:r>
              <w:rPr>
                <w:rFonts w:hint="eastAsia" w:ascii="宋体" w:hAnsi="宋体" w:eastAsia="宋体" w:cs="宋体"/>
                <w:b/>
                <w:sz w:val="24"/>
                <w:szCs w:val="24"/>
                <w:highlight w:val="none"/>
              </w:rPr>
              <w:t>”</w:t>
            </w:r>
          </w:p>
        </w:tc>
        <w:tc>
          <w:tcPr>
            <w:tcW w:w="2711" w:type="pct"/>
            <w:vMerge w:val="continue"/>
            <w:vAlign w:val="center"/>
          </w:tcPr>
          <w:p>
            <w:pPr>
              <w:adjustRightInd w:val="0"/>
              <w:snapToGrid w:val="0"/>
              <w:rPr>
                <w:rFonts w:hint="eastAsia" w:ascii="宋体" w:hAnsi="宋体" w:eastAsia="宋体" w:cs="宋体"/>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修改为具体编制条目内容规定详见招标文件“投标文件格式”章节。</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4.国家电网电子商务平台-电工交易专区电子投标文件报价文件、商务文件、技术文件制作上传说明</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sz w:val="24"/>
          <w:szCs w:val="24"/>
          <w:highlight w:val="none"/>
        </w:rPr>
        <w:t>（1）报价部分：应答报价直接在国家电网有限公司电子商务平台-电工交易专区填写，以系统生成为准，</w:t>
      </w:r>
      <w:r>
        <w:rPr>
          <w:rFonts w:hint="eastAsia" w:ascii="宋体" w:hAnsi="宋体" w:eastAsia="宋体" w:cs="宋体"/>
          <w:sz w:val="24"/>
          <w:szCs w:val="24"/>
          <w:highlight w:val="none"/>
          <w:lang w:val="en-US" w:eastAsia="zh-CN"/>
        </w:rPr>
        <w:t>同时需根据招标文件格式制作报价文件，</w:t>
      </w:r>
      <w:r>
        <w:rPr>
          <w:rFonts w:hint="eastAsia" w:ascii="宋体" w:hAnsi="宋体" w:eastAsia="宋体" w:cs="宋体"/>
          <w:sz w:val="24"/>
          <w:szCs w:val="24"/>
          <w:highlight w:val="none"/>
        </w:rPr>
        <w:t>按包制作为</w:t>
      </w:r>
      <w:r>
        <w:rPr>
          <w:rFonts w:hint="eastAsia" w:ascii="宋体" w:hAnsi="宋体" w:cs="宋体"/>
          <w:sz w:val="24"/>
          <w:szCs w:val="24"/>
          <w:highlight w:val="none"/>
          <w:lang w:val="en-US" w:eastAsia="zh-CN"/>
        </w:rPr>
        <w:t>pdf格式签章、签字完成后上传</w:t>
      </w:r>
      <w:r>
        <w:rPr>
          <w:rFonts w:hint="eastAsia" w:ascii="宋体" w:hAnsi="宋体" w:eastAsia="宋体" w:cs="宋体"/>
          <w:sz w:val="24"/>
          <w:szCs w:val="24"/>
          <w:highlight w:val="none"/>
          <w:lang w:eastAsia="zh-CN"/>
        </w:rPr>
        <w:t>，</w:t>
      </w:r>
      <w:r>
        <w:rPr>
          <w:rFonts w:hint="eastAsia" w:ascii="宋体" w:hAnsi="宋体" w:eastAsia="宋体" w:cs="宋体"/>
          <w:b/>
          <w:bCs/>
          <w:color w:val="FF0000"/>
          <w:sz w:val="24"/>
          <w:szCs w:val="24"/>
          <w:highlight w:val="none"/>
        </w:rPr>
        <w:t>电子商务平台-电工交易专区</w:t>
      </w:r>
      <w:r>
        <w:rPr>
          <w:rFonts w:hint="eastAsia" w:ascii="宋体" w:hAnsi="宋体" w:eastAsia="宋体" w:cs="宋体"/>
          <w:b/>
          <w:bCs/>
          <w:color w:val="FF0000"/>
          <w:sz w:val="24"/>
          <w:szCs w:val="24"/>
          <w:highlight w:val="none"/>
          <w:lang w:val="en-US" w:eastAsia="zh-CN"/>
        </w:rPr>
        <w:t>维护的价格与明细应与供应链管理系统平台生成的开标（报价）文件实质性内容保持一致</w:t>
      </w:r>
      <w:r>
        <w:rPr>
          <w:rFonts w:hint="eastAsia" w:ascii="宋体" w:hAnsi="宋体" w:eastAsia="宋体" w:cs="宋体"/>
          <w:b/>
          <w:bCs/>
          <w:color w:val="FF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（2）商务部分：按包制作为</w:t>
      </w:r>
      <w:bookmarkStart w:id="1" w:name="_Hlk75342351"/>
      <w:r>
        <w:rPr>
          <w:rFonts w:hint="eastAsia" w:ascii="宋体" w:hAnsi="宋体" w:eastAsia="宋体" w:cs="宋体"/>
          <w:sz w:val="24"/>
          <w:szCs w:val="24"/>
          <w:highlight w:val="none"/>
        </w:rPr>
        <w:t>docx格式</w:t>
      </w:r>
      <w:bookmarkEnd w:id="1"/>
      <w:r>
        <w:rPr>
          <w:rFonts w:hint="eastAsia" w:ascii="宋体" w:hAnsi="宋体" w:eastAsia="宋体" w:cs="宋体"/>
          <w:sz w:val="24"/>
          <w:szCs w:val="24"/>
          <w:highlight w:val="none"/>
        </w:rPr>
        <w:t>，按包批量在“投标工具-商务部分-维护商务部分-补充文件”端口上传。</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（3）技术部分：按包制作为docx格式，按包批量在“投标工具-其他技术投标文件-维护其他技术投标文件-专项投标文件”端口上传。</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投标文件递交流程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highlight w:val="none"/>
        </w:rPr>
        <w:sectPr>
          <w:headerReference r:id="rId3" w:type="default"/>
          <w:footerReference r:id="rId4" w:type="default"/>
          <w:pgSz w:w="16838" w:h="11906" w:orient="landscape"/>
          <w:pgMar w:top="1134" w:right="1440" w:bottom="1134" w:left="1440" w:header="851" w:footer="992" w:gutter="0"/>
          <w:cols w:space="720" w:num="1"/>
          <w:docGrid w:linePitch="312" w:charSpace="0"/>
        </w:sect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”上传。投标人登录“</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”，在规定时间内完成</w:t>
      </w:r>
      <w:r>
        <w:rPr>
          <w:rFonts w:hint="eastAsia" w:ascii="宋体" w:hAnsi="宋体" w:eastAsia="宋体" w:cs="宋体"/>
          <w:sz w:val="24"/>
          <w:szCs w:val="24"/>
          <w:highlight w:val="none"/>
          <w:lang w:val="en-US" w:eastAsia="zh-CN"/>
        </w:rPr>
        <w:t>开标（报价）文件、</w:t>
      </w:r>
      <w:r>
        <w:rPr>
          <w:rFonts w:hint="eastAsia" w:ascii="宋体" w:hAnsi="宋体" w:eastAsia="宋体" w:cs="宋体"/>
          <w:sz w:val="24"/>
          <w:szCs w:val="24"/>
          <w:highlight w:val="none"/>
        </w:rPr>
        <w:t>投标文件的上传。</w:t>
      </w:r>
      <w:r>
        <w:rPr>
          <w:rFonts w:hint="eastAsia" w:ascii="宋体" w:hAnsi="宋体" w:eastAsia="宋体" w:cs="宋体"/>
          <w:sz w:val="24"/>
          <w:szCs w:val="24"/>
          <w:highlight w:val="none"/>
          <w:lang w:val="en-US" w:eastAsia="zh-CN"/>
        </w:rPr>
        <w:t>开标（报价）文件在导出并维护上传明细表后，自动生成；</w:t>
      </w:r>
      <w:r>
        <w:rPr>
          <w:rFonts w:hint="eastAsia" w:ascii="宋体" w:hAnsi="宋体" w:eastAsia="宋体" w:cs="宋体"/>
          <w:sz w:val="24"/>
          <w:szCs w:val="24"/>
          <w:highlight w:val="none"/>
        </w:rPr>
        <w:t>电子投标文件按照</w:t>
      </w:r>
      <w:r>
        <w:rPr>
          <w:rFonts w:hint="eastAsia" w:ascii="宋体" w:hAnsi="宋体" w:eastAsia="宋体" w:cs="宋体"/>
          <w:sz w:val="24"/>
          <w:szCs w:val="24"/>
          <w:highlight w:val="none"/>
          <w:lang w:val="en-US" w:eastAsia="zh-CN"/>
        </w:rPr>
        <w:t>招标文件格式要求制作完成后，上传docx格式</w:t>
      </w:r>
      <w:r>
        <w:rPr>
          <w:rFonts w:hint="eastAsia" w:ascii="宋体" w:hAnsi="宋体" w:eastAsia="宋体" w:cs="宋体"/>
          <w:sz w:val="24"/>
          <w:szCs w:val="24"/>
          <w:highlight w:val="none"/>
        </w:rPr>
        <w:t>，以包为单位分别上传该包的商务、技术投标文件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并利用“移动CA”APP（供应链管理系统平台注册时根据引导注册免费使用，需同时申请电子签章及法定代表人、被授权人签章等）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电子投标文件</w:t>
      </w:r>
      <w:r>
        <w:rPr>
          <w:rFonts w:hint="eastAsia" w:ascii="宋体" w:hAnsi="宋体" w:eastAsia="宋体" w:cs="宋体"/>
          <w:sz w:val="24"/>
          <w:szCs w:val="24"/>
          <w:highlight w:val="none"/>
          <w:lang w:val="en-US" w:eastAsia="zh-CN"/>
        </w:rPr>
        <w:t>在文件加密后自动命名</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sz w:val="24"/>
          <w:szCs w:val="24"/>
          <w:highlight w:val="none"/>
        </w:rPr>
        <w:t>投标文件提交前，须确认该内容解密后可读，对于不可读取的将不作评审（若电子文件内容在随机选取的不少于三台电脑上均无法打开，则视为其电子文件不可读取）。</w:t>
      </w:r>
    </w:p>
    <w:p>
      <w:pPr>
        <w:pStyle w:val="6"/>
        <w:spacing w:line="360" w:lineRule="auto"/>
        <w:rPr>
          <w:rFonts w:hint="eastAsia" w:ascii="宋体" w:hAnsi="宋体" w:eastAsia="宋体" w:cs="宋体"/>
          <w:b/>
          <w:bCs/>
          <w:color w:val="000000"/>
          <w:kern w:val="0"/>
          <w:sz w:val="24"/>
          <w:szCs w:val="24"/>
          <w:highlight w:val="none"/>
        </w:rPr>
      </w:pPr>
      <w:r>
        <w:rPr>
          <w:rFonts w:hint="eastAsia" w:ascii="宋体" w:hAnsi="宋体" w:eastAsia="宋体" w:cs="宋体"/>
          <w:b/>
          <w:sz w:val="24"/>
          <w:szCs w:val="24"/>
          <w:highlight w:val="none"/>
        </w:rPr>
        <w:t>附件3：</w:t>
      </w:r>
      <w:r>
        <w:rPr>
          <w:rFonts w:hint="eastAsia" w:ascii="宋体" w:hAnsi="宋体" w:eastAsia="宋体" w:cs="宋体"/>
          <w:b/>
          <w:bCs/>
          <w:color w:val="000000"/>
          <w:kern w:val="0"/>
          <w:sz w:val="24"/>
          <w:szCs w:val="24"/>
          <w:highlight w:val="none"/>
        </w:rPr>
        <w:t>投标文件上传情况说明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drawing>
          <wp:anchor distT="0" distB="0" distL="114300" distR="114300" simplePos="0" relativeHeight="251660288" behindDoc="0" locked="0" layoutInCell="1" allowOverlap="1">
            <wp:simplePos x="0" y="0"/>
            <wp:positionH relativeFrom="column">
              <wp:posOffset>1772920</wp:posOffset>
            </wp:positionH>
            <wp:positionV relativeFrom="paragraph">
              <wp:posOffset>2328545</wp:posOffset>
            </wp:positionV>
            <wp:extent cx="635" cy="635"/>
            <wp:effectExtent l="0" t="0" r="0" b="0"/>
            <wp:wrapNone/>
            <wp:docPr id="26" name="墨迹 26"/>
            <wp:cNvGraphicFramePr/>
            <a:graphic xmlns:a="http://schemas.openxmlformats.org/drawingml/2006/main">
              <a:graphicData uri="http://schemas.openxmlformats.org/drawingml/2006/picture">
                <pic:pic xmlns:pic="http://schemas.openxmlformats.org/drawingml/2006/picture">
                  <pic:nvPicPr>
                    <pic:cNvPr id="26" name="墨迹 26"/>
                    <pic:cNvPicPr/>
                  </pic:nvPicPr>
                  <pic:blipFill>
                    <a:blip r:embed="rId7"/>
                    <a:stretch>
                      <a:fillRect/>
                    </a:stretch>
                  </pic:blipFill>
                  <pic:spPr>
                    <a:xfrm>
                      <a:off x="0" y="0"/>
                      <a:ext cx="36000" cy="216000"/>
                    </a:xfrm>
                    <a:prstGeom prst="rect">
                      <a:avLst/>
                    </a:prstGeom>
                  </pic:spPr>
                </pic:pic>
              </a:graphicData>
            </a:graphic>
          </wp:anchor>
        </w:drawing>
      </w:r>
      <w:r>
        <w:rPr>
          <w:rFonts w:hint="eastAsia" w:ascii="宋体" w:hAnsi="宋体" w:eastAsia="宋体" w:cs="宋体"/>
          <w:color w:val="000000"/>
          <w:sz w:val="24"/>
          <w:szCs w:val="24"/>
          <w:highlight w:val="none"/>
        </w:rPr>
        <w:t>（投标人的电子投标文件需同时在国家电网有限公司电子商务平台-电工交易专区以及“</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color w:val="000000"/>
          <w:sz w:val="24"/>
          <w:szCs w:val="24"/>
          <w:highlight w:val="none"/>
        </w:rPr>
        <w:t>”上传。</w:t>
      </w:r>
      <w:r>
        <w:rPr>
          <w:rFonts w:hint="eastAsia" w:ascii="宋体" w:hAnsi="宋体" w:eastAsia="宋体" w:cs="宋体"/>
          <w:color w:val="000000"/>
          <w:sz w:val="24"/>
          <w:szCs w:val="24"/>
          <w:highlight w:val="none"/>
          <w:lang w:val="en-US" w:eastAsia="zh-CN"/>
        </w:rPr>
        <w:t>因</w:t>
      </w:r>
      <w:r>
        <w:rPr>
          <w:rFonts w:hint="eastAsia" w:ascii="宋体" w:hAnsi="宋体" w:eastAsia="宋体" w:cs="宋体"/>
          <w:color w:val="000000"/>
          <w:sz w:val="24"/>
          <w:szCs w:val="24"/>
          <w:highlight w:val="none"/>
        </w:rPr>
        <w:t>商务、技术投标文件较大无法完整上传至国家电网有限公司电子商务平台-电工交易专区系统，“</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必须上传完整的商务、技术投标文件</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投标文件上传情况说明</w:t>
      </w:r>
    </w:p>
    <w:p>
      <w:pPr>
        <w:keepNext w:val="0"/>
        <w:keepLines w:val="0"/>
        <w:pageBreakBefore w:val="0"/>
        <w:widowControl w:val="0"/>
        <w:kinsoku/>
        <w:wordWrap/>
        <w:overflowPunct/>
        <w:topLinePunct w:val="0"/>
        <w:autoSpaceDE/>
        <w:autoSpaceDN/>
        <w:bidi w:val="0"/>
        <w:adjustRightInd/>
        <w:snapToGrid/>
        <w:spacing w:line="240" w:lineRule="auto"/>
        <w:ind w:firstLine="456" w:firstLineChars="190"/>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国网智能科技股份有限公司</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56" w:firstLineChars="19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按照招标文件相关要求，我方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（投标人名称）递交了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项目投标文件及有关资料，所参与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分标</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56" w:firstLineChars="19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标包投标文件</w:t>
      </w:r>
      <w:r>
        <w:rPr>
          <w:rFonts w:hint="eastAsia" w:ascii="宋体" w:hAnsi="宋体" w:eastAsia="宋体" w:cs="宋体"/>
          <w:color w:val="000000"/>
          <w:sz w:val="24"/>
          <w:szCs w:val="24"/>
          <w:highlight w:val="none"/>
          <w:lang w:val="en-US" w:eastAsia="zh-CN"/>
        </w:rPr>
        <w:t>较大</w:t>
      </w:r>
      <w:r>
        <w:rPr>
          <w:rFonts w:hint="eastAsia" w:ascii="宋体" w:hAnsi="宋体" w:eastAsia="宋体" w:cs="宋体"/>
          <w:color w:val="000000"/>
          <w:sz w:val="24"/>
          <w:szCs w:val="24"/>
          <w:highlight w:val="none"/>
        </w:rPr>
        <w:t>无法完整上传至国家电网有限公司电子商务平台-电工交易专区系统，我方在</w:t>
      </w:r>
      <w:r>
        <w:rPr>
          <w:rFonts w:hint="eastAsia" w:ascii="宋体" w:hAnsi="宋体" w:eastAsia="宋体" w:cs="宋体"/>
          <w:sz w:val="24"/>
          <w:szCs w:val="24"/>
          <w:highlight w:val="none"/>
          <w:lang w:val="en-US" w:eastAsia="zh-CN"/>
        </w:rPr>
        <w:t>供应链管理系统平台</w:t>
      </w:r>
      <w:r>
        <w:rPr>
          <w:rFonts w:hint="eastAsia" w:ascii="宋体" w:hAnsi="宋体" w:eastAsia="宋体" w:cs="宋体"/>
          <w:color w:val="000000"/>
          <w:sz w:val="24"/>
          <w:szCs w:val="24"/>
          <w:highlight w:val="none"/>
        </w:rPr>
        <w:t>上传了完整、清晰的电子投标文件。</w:t>
      </w:r>
    </w:p>
    <w:p>
      <w:pPr>
        <w:keepNext w:val="0"/>
        <w:keepLines w:val="0"/>
        <w:pageBreakBefore w:val="0"/>
        <w:widowControl w:val="0"/>
        <w:kinsoku/>
        <w:wordWrap/>
        <w:overflowPunct/>
        <w:topLinePunct w:val="0"/>
        <w:autoSpaceDE/>
        <w:autoSpaceDN/>
        <w:bidi w:val="0"/>
        <w:adjustRightInd/>
        <w:snapToGrid/>
        <w:spacing w:line="240" w:lineRule="auto"/>
        <w:ind w:firstLine="456" w:firstLineChars="19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特此说明。</w:t>
      </w:r>
    </w:p>
    <w:p>
      <w:pPr>
        <w:ind w:firstLine="456" w:firstLineChars="190"/>
        <w:rPr>
          <w:rFonts w:hint="eastAsia" w:ascii="宋体" w:hAnsi="宋体" w:eastAsia="宋体" w:cs="宋体"/>
          <w:color w:val="000000"/>
          <w:sz w:val="24"/>
          <w:szCs w:val="24"/>
          <w:highlight w:val="none"/>
        </w:rPr>
      </w:pPr>
    </w:p>
    <w:p>
      <w:pPr>
        <w:ind w:firstLine="456" w:firstLineChars="190"/>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ind w:firstLine="6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投标人（盖单位章）：</w:t>
      </w:r>
    </w:p>
    <w:p>
      <w:pPr>
        <w:keepNext w:val="0"/>
        <w:keepLines w:val="0"/>
        <w:pageBreakBefore w:val="0"/>
        <w:widowControl w:val="0"/>
        <w:kinsoku/>
        <w:wordWrap/>
        <w:overflowPunct/>
        <w:topLinePunct w:val="0"/>
        <w:autoSpaceDE/>
        <w:autoSpaceDN/>
        <w:bidi w:val="0"/>
        <w:adjustRightInd/>
        <w:snapToGrid/>
        <w:ind w:firstLine="600"/>
        <w:jc w:val="right"/>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ind w:firstLine="600"/>
        <w:jc w:val="right"/>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sz w:val="24"/>
          <w:szCs w:val="24"/>
          <w:highlight w:val="none"/>
        </w:rPr>
        <w:t>年    月    日</w:t>
      </w:r>
    </w:p>
    <w:p>
      <w:pPr>
        <w:pStyle w:val="16"/>
        <w:keepNext w:val="0"/>
        <w:keepLines w:val="0"/>
        <w:pageBreakBefore w:val="0"/>
        <w:widowControl w:val="0"/>
        <w:tabs>
          <w:tab w:val="left" w:pos="625"/>
        </w:tabs>
        <w:kinsoku/>
        <w:wordWrap/>
        <w:overflowPunct/>
        <w:topLinePunct w:val="0"/>
        <w:autoSpaceDE/>
        <w:autoSpaceDN/>
        <w:bidi w:val="0"/>
        <w:adjustRightInd/>
        <w:snapToGrid/>
        <w:textAlignment w:val="auto"/>
        <w:rPr>
          <w:rFonts w:hint="eastAsia" w:ascii="宋体" w:hAnsi="宋体" w:eastAsia="宋体" w:cs="宋体"/>
          <w:sz w:val="24"/>
          <w:szCs w:val="24"/>
          <w:highlight w:val="none"/>
        </w:rPr>
      </w:pPr>
    </w:p>
    <w:sectPr>
      <w:footerReference r:id="rId5"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420"/>
      <w:jc w:val="both"/>
      <w:rPr>
        <w:rFonts w:hint="default" w:ascii="方正仿宋_GBK" w:eastAsia="方正仿宋_GBK"/>
        <w:sz w:val="21"/>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 w:name="KSO_WPS_MARK_KEY" w:val="f0431435-6720-459c-9809-76d24efff92e"/>
  </w:docVars>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2A82694"/>
    <w:rsid w:val="02DB3122"/>
    <w:rsid w:val="03B72F16"/>
    <w:rsid w:val="042B3D4F"/>
    <w:rsid w:val="04E72BB1"/>
    <w:rsid w:val="06CD2089"/>
    <w:rsid w:val="079616A3"/>
    <w:rsid w:val="07D828C5"/>
    <w:rsid w:val="089F25C6"/>
    <w:rsid w:val="09002B02"/>
    <w:rsid w:val="0961311E"/>
    <w:rsid w:val="09BB1D7B"/>
    <w:rsid w:val="0AF34D05"/>
    <w:rsid w:val="0B42259C"/>
    <w:rsid w:val="0B6B6322"/>
    <w:rsid w:val="0C130AA1"/>
    <w:rsid w:val="0C6745F0"/>
    <w:rsid w:val="0C6B6663"/>
    <w:rsid w:val="0CD22C69"/>
    <w:rsid w:val="0D0269A1"/>
    <w:rsid w:val="0D0A0E29"/>
    <w:rsid w:val="0F2E4A6E"/>
    <w:rsid w:val="0F6D0760"/>
    <w:rsid w:val="0F8A7B0F"/>
    <w:rsid w:val="10002197"/>
    <w:rsid w:val="101073BE"/>
    <w:rsid w:val="10125409"/>
    <w:rsid w:val="106629F6"/>
    <w:rsid w:val="108D7E4D"/>
    <w:rsid w:val="109825F0"/>
    <w:rsid w:val="10DC408D"/>
    <w:rsid w:val="12065612"/>
    <w:rsid w:val="121F3C87"/>
    <w:rsid w:val="128A0370"/>
    <w:rsid w:val="12E863C5"/>
    <w:rsid w:val="1395152B"/>
    <w:rsid w:val="13FD017F"/>
    <w:rsid w:val="14263A91"/>
    <w:rsid w:val="14657A19"/>
    <w:rsid w:val="14C8732E"/>
    <w:rsid w:val="14E7063D"/>
    <w:rsid w:val="14ED5535"/>
    <w:rsid w:val="152109A0"/>
    <w:rsid w:val="15402045"/>
    <w:rsid w:val="154C6CC8"/>
    <w:rsid w:val="15D93023"/>
    <w:rsid w:val="15DE5ED6"/>
    <w:rsid w:val="164C4D8E"/>
    <w:rsid w:val="172C17A9"/>
    <w:rsid w:val="179A6928"/>
    <w:rsid w:val="17D83149"/>
    <w:rsid w:val="17DB5B4C"/>
    <w:rsid w:val="18343A46"/>
    <w:rsid w:val="18406A8A"/>
    <w:rsid w:val="187022FD"/>
    <w:rsid w:val="18EA3261"/>
    <w:rsid w:val="18FD3F6F"/>
    <w:rsid w:val="19096657"/>
    <w:rsid w:val="19A5125A"/>
    <w:rsid w:val="1A2D70B4"/>
    <w:rsid w:val="1A306F84"/>
    <w:rsid w:val="1A833EC2"/>
    <w:rsid w:val="1AB90AC1"/>
    <w:rsid w:val="1ABB017E"/>
    <w:rsid w:val="1B75596D"/>
    <w:rsid w:val="1B7F6122"/>
    <w:rsid w:val="1B8062A2"/>
    <w:rsid w:val="1C4504CF"/>
    <w:rsid w:val="1CD62B36"/>
    <w:rsid w:val="1DAE7DCF"/>
    <w:rsid w:val="1E1038E4"/>
    <w:rsid w:val="1E640A96"/>
    <w:rsid w:val="1E9820B0"/>
    <w:rsid w:val="1EE615BB"/>
    <w:rsid w:val="1EFA5CD2"/>
    <w:rsid w:val="1F3969C0"/>
    <w:rsid w:val="1F4262AB"/>
    <w:rsid w:val="1F83495C"/>
    <w:rsid w:val="1FD86BB0"/>
    <w:rsid w:val="206378E1"/>
    <w:rsid w:val="20AC270D"/>
    <w:rsid w:val="20AF1FA9"/>
    <w:rsid w:val="211F423F"/>
    <w:rsid w:val="217D69B9"/>
    <w:rsid w:val="22343EB9"/>
    <w:rsid w:val="22901FF9"/>
    <w:rsid w:val="2299232C"/>
    <w:rsid w:val="22DD5316"/>
    <w:rsid w:val="22F0607C"/>
    <w:rsid w:val="233D2C3A"/>
    <w:rsid w:val="23492DD2"/>
    <w:rsid w:val="23A60508"/>
    <w:rsid w:val="24401449"/>
    <w:rsid w:val="25086D89"/>
    <w:rsid w:val="25353F86"/>
    <w:rsid w:val="25777905"/>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0D49A6"/>
    <w:rsid w:val="2E0C1AB8"/>
    <w:rsid w:val="2E2D7AE9"/>
    <w:rsid w:val="2F380C61"/>
    <w:rsid w:val="2FC84E3A"/>
    <w:rsid w:val="30030487"/>
    <w:rsid w:val="30120D29"/>
    <w:rsid w:val="307C0F08"/>
    <w:rsid w:val="31A61791"/>
    <w:rsid w:val="31C56881"/>
    <w:rsid w:val="31D73940"/>
    <w:rsid w:val="33B10D29"/>
    <w:rsid w:val="351A272F"/>
    <w:rsid w:val="355A3E14"/>
    <w:rsid w:val="35E05426"/>
    <w:rsid w:val="3667230A"/>
    <w:rsid w:val="37685518"/>
    <w:rsid w:val="37775DB9"/>
    <w:rsid w:val="391D3D61"/>
    <w:rsid w:val="395150CA"/>
    <w:rsid w:val="39A31218"/>
    <w:rsid w:val="39CD218D"/>
    <w:rsid w:val="3A5978A2"/>
    <w:rsid w:val="3A8D15F7"/>
    <w:rsid w:val="3AC2529E"/>
    <w:rsid w:val="3B8E718B"/>
    <w:rsid w:val="3B940012"/>
    <w:rsid w:val="3BA02539"/>
    <w:rsid w:val="3BD715E3"/>
    <w:rsid w:val="3C3C6D49"/>
    <w:rsid w:val="3D6101B3"/>
    <w:rsid w:val="3DAA36C5"/>
    <w:rsid w:val="3F506B7A"/>
    <w:rsid w:val="3FA45657"/>
    <w:rsid w:val="40687B37"/>
    <w:rsid w:val="40884242"/>
    <w:rsid w:val="40950B98"/>
    <w:rsid w:val="40CF0912"/>
    <w:rsid w:val="41D73C80"/>
    <w:rsid w:val="41F708A3"/>
    <w:rsid w:val="431C5F81"/>
    <w:rsid w:val="43426EC1"/>
    <w:rsid w:val="4369452A"/>
    <w:rsid w:val="438644AA"/>
    <w:rsid w:val="43AC2EA4"/>
    <w:rsid w:val="43CA7942"/>
    <w:rsid w:val="44151069"/>
    <w:rsid w:val="44404174"/>
    <w:rsid w:val="45071372"/>
    <w:rsid w:val="451F48EE"/>
    <w:rsid w:val="454F66D8"/>
    <w:rsid w:val="4558609E"/>
    <w:rsid w:val="45855E35"/>
    <w:rsid w:val="45F31230"/>
    <w:rsid w:val="46E46B3F"/>
    <w:rsid w:val="47111A67"/>
    <w:rsid w:val="47223911"/>
    <w:rsid w:val="479478A0"/>
    <w:rsid w:val="47DF7629"/>
    <w:rsid w:val="48EC789E"/>
    <w:rsid w:val="492E455F"/>
    <w:rsid w:val="49375E89"/>
    <w:rsid w:val="49E00010"/>
    <w:rsid w:val="4AE25091"/>
    <w:rsid w:val="4B991A97"/>
    <w:rsid w:val="4BFB49F8"/>
    <w:rsid w:val="4C024CD6"/>
    <w:rsid w:val="4DE507C2"/>
    <w:rsid w:val="4E39053A"/>
    <w:rsid w:val="4F0317A4"/>
    <w:rsid w:val="4F664640"/>
    <w:rsid w:val="4FB764FC"/>
    <w:rsid w:val="4FD51E61"/>
    <w:rsid w:val="503E2A09"/>
    <w:rsid w:val="505912F5"/>
    <w:rsid w:val="50637B38"/>
    <w:rsid w:val="506C051D"/>
    <w:rsid w:val="509B0971"/>
    <w:rsid w:val="50F316BC"/>
    <w:rsid w:val="5161163C"/>
    <w:rsid w:val="51733565"/>
    <w:rsid w:val="527E4FBE"/>
    <w:rsid w:val="534B5D10"/>
    <w:rsid w:val="54C43C51"/>
    <w:rsid w:val="54EA55DA"/>
    <w:rsid w:val="551A14A5"/>
    <w:rsid w:val="558A3414"/>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E4E424E"/>
    <w:rsid w:val="5F4D0687"/>
    <w:rsid w:val="5F516D76"/>
    <w:rsid w:val="60241432"/>
    <w:rsid w:val="60602346"/>
    <w:rsid w:val="60C1653D"/>
    <w:rsid w:val="61032FD2"/>
    <w:rsid w:val="61390A98"/>
    <w:rsid w:val="625A0266"/>
    <w:rsid w:val="626B719B"/>
    <w:rsid w:val="62744A27"/>
    <w:rsid w:val="630C2E3C"/>
    <w:rsid w:val="635F160D"/>
    <w:rsid w:val="639C3A88"/>
    <w:rsid w:val="63E92F01"/>
    <w:rsid w:val="641106C5"/>
    <w:rsid w:val="648A5168"/>
    <w:rsid w:val="65722563"/>
    <w:rsid w:val="660A1885"/>
    <w:rsid w:val="66E24241"/>
    <w:rsid w:val="66E74C08"/>
    <w:rsid w:val="67A46833"/>
    <w:rsid w:val="681A687D"/>
    <w:rsid w:val="6864098F"/>
    <w:rsid w:val="68A6679F"/>
    <w:rsid w:val="68A9611A"/>
    <w:rsid w:val="692C3A5F"/>
    <w:rsid w:val="6943445A"/>
    <w:rsid w:val="69E947AF"/>
    <w:rsid w:val="6A305C43"/>
    <w:rsid w:val="6A77304C"/>
    <w:rsid w:val="6A8C16D9"/>
    <w:rsid w:val="6AF532DC"/>
    <w:rsid w:val="6AF91AF5"/>
    <w:rsid w:val="6B8321D1"/>
    <w:rsid w:val="6BE15ADC"/>
    <w:rsid w:val="6BE6593E"/>
    <w:rsid w:val="6C1B4FD6"/>
    <w:rsid w:val="6C7F667B"/>
    <w:rsid w:val="6CF34EB2"/>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2621542"/>
    <w:rsid w:val="7269191B"/>
    <w:rsid w:val="732433BA"/>
    <w:rsid w:val="733C35D5"/>
    <w:rsid w:val="73692775"/>
    <w:rsid w:val="73E233A6"/>
    <w:rsid w:val="74400F6C"/>
    <w:rsid w:val="748F4ADC"/>
    <w:rsid w:val="74E11F46"/>
    <w:rsid w:val="74F05E91"/>
    <w:rsid w:val="751A7727"/>
    <w:rsid w:val="753B3DEA"/>
    <w:rsid w:val="75427BF8"/>
    <w:rsid w:val="756538F4"/>
    <w:rsid w:val="7667358E"/>
    <w:rsid w:val="76870BB8"/>
    <w:rsid w:val="76945457"/>
    <w:rsid w:val="777A5B67"/>
    <w:rsid w:val="7895679E"/>
    <w:rsid w:val="78A22C2A"/>
    <w:rsid w:val="78E5635C"/>
    <w:rsid w:val="792B0B52"/>
    <w:rsid w:val="79E81839"/>
    <w:rsid w:val="7A102063"/>
    <w:rsid w:val="7AA82E41"/>
    <w:rsid w:val="7BD81B9B"/>
    <w:rsid w:val="7CCC5441"/>
    <w:rsid w:val="7D087A82"/>
    <w:rsid w:val="7E3A7AED"/>
    <w:rsid w:val="7E7F5A81"/>
    <w:rsid w:val="7F3C021A"/>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autoRedefine/>
    <w:qFormat/>
    <w:uiPriority w:val="0"/>
    <w:pPr>
      <w:jc w:val="center"/>
      <w:outlineLvl w:val="0"/>
    </w:pPr>
    <w:rPr>
      <w:b/>
      <w:kern w:val="44"/>
      <w:sz w:val="44"/>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semiHidden/>
    <w:qFormat/>
    <w:uiPriority w:val="0"/>
    <w:pPr>
      <w:spacing w:after="120"/>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22"/>
    <w:rPr>
      <w:b/>
      <w:bCs/>
    </w:rPr>
  </w:style>
  <w:style w:type="character" w:styleId="12">
    <w:name w:val="Hyperlink"/>
    <w:basedOn w:val="10"/>
    <w:autoRedefine/>
    <w:qFormat/>
    <w:uiPriority w:val="99"/>
    <w:rPr>
      <w:color w:val="0000FF"/>
      <w:u w:val="single"/>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character" w:customStyle="1" w:styleId="15">
    <w:name w:val="标题 1 Char"/>
    <w:basedOn w:val="10"/>
    <w:link w:val="3"/>
    <w:autoRedefine/>
    <w:qFormat/>
    <w:uiPriority w:val="0"/>
    <w:rPr>
      <w:rFonts w:ascii="Times New Roman" w:hAnsi="Times New Roman" w:eastAsia="宋体" w:cs="Times New Roman"/>
      <w:b/>
      <w:kern w:val="44"/>
      <w:sz w:val="44"/>
      <w:szCs w:val="20"/>
    </w:rPr>
  </w:style>
  <w:style w:type="paragraph" w:customStyle="1" w:styleId="16">
    <w:name w:val="Normal_1"/>
    <w:autoRedefine/>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autoRedefine/>
    <w:semiHidden/>
    <w:qFormat/>
    <w:uiPriority w:val="99"/>
    <w:rPr>
      <w:rFonts w:ascii="Times New Roman" w:hAnsi="Times New Roman" w:eastAsia="宋体" w:cs="Times New Roman"/>
      <w:sz w:val="18"/>
      <w:szCs w:val="18"/>
    </w:rPr>
  </w:style>
  <w:style w:type="paragraph" w:customStyle="1" w:styleId="18">
    <w:name w:val="正文文本2"/>
    <w:basedOn w:val="1"/>
    <w:autoRedefine/>
    <w:qFormat/>
    <w:uiPriority w:val="0"/>
    <w:pPr>
      <w:autoSpaceDE w:val="0"/>
      <w:autoSpaceDN w:val="0"/>
      <w:jc w:val="left"/>
    </w:pPr>
    <w:rPr>
      <w:rFonts w:ascii="宋体" w:hAnsi="宋体"/>
      <w:kern w:val="0"/>
      <w:sz w:val="20"/>
      <w:szCs w:val="21"/>
      <w:lang w:val="zh-CN"/>
    </w:rPr>
  </w:style>
  <w:style w:type="table" w:customStyle="1" w:styleId="19">
    <w:name w:val="网格型1"/>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3162</Words>
  <Characters>3685</Characters>
  <Lines>28</Lines>
  <Paragraphs>8</Paragraphs>
  <TotalTime>13</TotalTime>
  <ScaleCrop>false</ScaleCrop>
  <LinksUpToDate>false</LinksUpToDate>
  <CharactersWithSpaces>3697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北辰</cp:lastModifiedBy>
  <dcterms:modified xsi:type="dcterms:W3CDTF">2025-06-04T04:26:42Z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D800C4DB528044BEA88D94899F873345_13</vt:lpwstr>
  </property>
</Properties>
</file>