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附件1   招标需求一览表</w:t>
      </w:r>
      <w:bookmarkStart w:id="1" w:name="_GoBack"/>
      <w:bookmarkEnd w:id="1"/>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8"/>
        <w:gridCol w:w="649"/>
        <w:gridCol w:w="6010"/>
        <w:gridCol w:w="654"/>
        <w:gridCol w:w="750"/>
        <w:gridCol w:w="900"/>
        <w:gridCol w:w="954"/>
        <w:gridCol w:w="1050"/>
        <w:gridCol w:w="2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0" w:type="auto"/>
            <w:vAlign w:val="center"/>
          </w:tcPr>
          <w:p>
            <w:pPr>
              <w:widowControl/>
              <w:shd w:val="clea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项目名称</w:t>
            </w:r>
          </w:p>
        </w:tc>
        <w:tc>
          <w:tcPr>
            <w:tcW w:w="0" w:type="auto"/>
            <w:shd w:val="clear" w:color="auto" w:fill="auto"/>
            <w:vAlign w:val="center"/>
          </w:tcPr>
          <w:p>
            <w:pPr>
              <w:widowControl/>
              <w:shd w:val="clea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物资名称</w:t>
            </w:r>
          </w:p>
        </w:tc>
        <w:tc>
          <w:tcPr>
            <w:tcW w:w="6010" w:type="dxa"/>
            <w:shd w:val="clear" w:color="auto" w:fill="auto"/>
            <w:vAlign w:val="center"/>
          </w:tcPr>
          <w:p>
            <w:pPr>
              <w:widowControl/>
              <w:shd w:val="clea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主要技术要求</w:t>
            </w:r>
          </w:p>
        </w:tc>
        <w:tc>
          <w:tcPr>
            <w:tcW w:w="654" w:type="dxa"/>
            <w:shd w:val="clear" w:color="auto" w:fill="auto"/>
            <w:vAlign w:val="center"/>
          </w:tcPr>
          <w:p>
            <w:pPr>
              <w:widowControl/>
              <w:shd w:val="clea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w:t>
            </w:r>
          </w:p>
        </w:tc>
        <w:tc>
          <w:tcPr>
            <w:tcW w:w="750" w:type="dxa"/>
            <w:shd w:val="clear" w:color="auto" w:fill="auto"/>
            <w:vAlign w:val="center"/>
          </w:tcPr>
          <w:p>
            <w:pPr>
              <w:widowControl/>
              <w:shd w:val="clea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tc>
        <w:tc>
          <w:tcPr>
            <w:tcW w:w="900" w:type="dxa"/>
            <w:shd w:val="clear" w:color="auto" w:fill="auto"/>
            <w:vAlign w:val="center"/>
          </w:tcPr>
          <w:p>
            <w:pPr>
              <w:widowControl/>
              <w:shd w:val="clea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交货日期</w:t>
            </w:r>
          </w:p>
        </w:tc>
        <w:tc>
          <w:tcPr>
            <w:tcW w:w="954" w:type="dxa"/>
            <w:vAlign w:val="center"/>
          </w:tcPr>
          <w:p>
            <w:pPr>
              <w:widowControl/>
              <w:shd w:val="clear"/>
              <w:jc w:val="center"/>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质保期</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不低于</w:t>
            </w:r>
            <w:r>
              <w:rPr>
                <w:rFonts w:hint="eastAsia" w:ascii="宋体" w:hAnsi="宋体" w:eastAsia="宋体" w:cs="宋体"/>
                <w:b/>
                <w:bCs/>
                <w:color w:val="auto"/>
                <w:kern w:val="0"/>
                <w:sz w:val="24"/>
                <w:szCs w:val="24"/>
                <w:highlight w:val="none"/>
                <w:lang w:eastAsia="zh-CN"/>
              </w:rPr>
              <w:t>）</w:t>
            </w:r>
          </w:p>
        </w:tc>
        <w:tc>
          <w:tcPr>
            <w:tcW w:w="1050" w:type="dxa"/>
            <w:shd w:val="clear" w:color="auto" w:fill="auto"/>
            <w:vAlign w:val="center"/>
          </w:tcPr>
          <w:p>
            <w:pPr>
              <w:widowControl/>
              <w:shd w:val="clea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交货地点</w:t>
            </w:r>
          </w:p>
        </w:tc>
        <w:tc>
          <w:tcPr>
            <w:tcW w:w="2049" w:type="dxa"/>
            <w:shd w:val="clear" w:color="auto" w:fill="auto"/>
            <w:vAlign w:val="center"/>
          </w:tcPr>
          <w:p>
            <w:pPr>
              <w:widowControl/>
              <w:shd w:val="clea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rPr>
              <w:t>专用</w:t>
            </w:r>
            <w:r>
              <w:rPr>
                <w:rFonts w:hint="eastAsia" w:ascii="宋体" w:hAnsi="宋体" w:eastAsia="宋体" w:cs="宋体"/>
                <w:b/>
                <w:bCs/>
                <w:color w:val="auto"/>
                <w:sz w:val="24"/>
                <w:szCs w:val="24"/>
                <w:highlight w:val="none"/>
                <w:lang w:val="en-US" w:eastAsia="zh-CN"/>
              </w:rPr>
              <w:t>业绩</w:t>
            </w:r>
            <w:r>
              <w:rPr>
                <w:rFonts w:hint="eastAsia" w:ascii="宋体" w:hAnsi="宋体" w:eastAsia="宋体" w:cs="宋体"/>
                <w:b/>
                <w:bCs/>
                <w:color w:val="auto"/>
                <w:sz w:val="24"/>
                <w:szCs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0" w:type="auto"/>
            <w:vMerge w:val="restart"/>
            <w:vAlign w:val="center"/>
          </w:tcPr>
          <w:p>
            <w:pPr>
              <w:widowControl/>
              <w:shd w:val="clear"/>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检测单元、操作模组等采购项目</w:t>
            </w:r>
          </w:p>
        </w:tc>
        <w:tc>
          <w:tcPr>
            <w:tcW w:w="0" w:type="auto"/>
            <w:shd w:val="clear" w:color="auto" w:fill="auto"/>
            <w:vAlign w:val="center"/>
          </w:tcPr>
          <w:p>
            <w:pPr>
              <w:widowControl/>
              <w:shd w:val="clear"/>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检测单元</w:t>
            </w:r>
          </w:p>
        </w:tc>
        <w:tc>
          <w:tcPr>
            <w:tcW w:w="6010" w:type="dxa"/>
            <w:shd w:val="clear" w:color="auto" w:fill="auto"/>
            <w:vAlign w:val="center"/>
          </w:tcPr>
          <w:p>
            <w:pPr>
              <w:widowControl/>
              <w:shd w:val="clear"/>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可见光检测 ：</w:t>
            </w:r>
          </w:p>
          <w:p>
            <w:pPr>
              <w:widowControl/>
              <w:shd w:val="clear"/>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1）上传视频分辨率不小于高清1080P</w:t>
            </w:r>
          </w:p>
          <w:p>
            <w:pPr>
              <w:widowControl/>
              <w:shd w:val="clear"/>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2）最小光学变焦倍数30倍</w:t>
            </w:r>
          </w:p>
          <w:p>
            <w:pPr>
              <w:widowControl/>
              <w:shd w:val="clear"/>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3）可见光摄像机具备自动对焦功能。</w:t>
            </w:r>
          </w:p>
          <w:p>
            <w:pPr>
              <w:widowControl/>
              <w:shd w:val="clear"/>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4）像素200万以上</w:t>
            </w:r>
          </w:p>
          <w:p>
            <w:pPr>
              <w:widowControl/>
              <w:shd w:val="clear"/>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红外检测：</w:t>
            </w:r>
          </w:p>
          <w:p>
            <w:pPr>
              <w:widowControl/>
              <w:shd w:val="clear"/>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1）红外检测设备成像分辨率不低于640×480</w:t>
            </w:r>
          </w:p>
          <w:p>
            <w:pPr>
              <w:widowControl/>
              <w:shd w:val="clear"/>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2）红外检测设备热灵敏度不低于100mK。</w:t>
            </w:r>
          </w:p>
          <w:p>
            <w:pPr>
              <w:widowControl/>
              <w:shd w:val="clear"/>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3）红外检测设备测温精度不低于±2 °C（或者量程的±2%）。</w:t>
            </w:r>
          </w:p>
          <w:p>
            <w:pPr>
              <w:widowControl/>
              <w:shd w:val="clear"/>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4）红外检测设备测温范围–20～+300°C。</w:t>
            </w:r>
          </w:p>
          <w:p>
            <w:pPr>
              <w:widowControl/>
              <w:shd w:val="clear"/>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5）其他要求符合DL/T664中附录H中的规定</w:t>
            </w:r>
          </w:p>
          <w:p>
            <w:pPr>
              <w:widowControl/>
              <w:shd w:val="clear"/>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局放性能：</w:t>
            </w:r>
          </w:p>
          <w:p>
            <w:pPr>
              <w:widowControl/>
              <w:shd w:val="clea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局放检测方式为超声波（AE）+暂态地电波（TEV）组合的检测方式；能满足现场设备检测全覆盖。局放检测结果展示：局放类型和图谱。</w:t>
            </w:r>
          </w:p>
        </w:tc>
        <w:tc>
          <w:tcPr>
            <w:tcW w:w="654" w:type="dxa"/>
            <w:shd w:val="clear" w:color="auto" w:fill="auto"/>
            <w:vAlign w:val="center"/>
          </w:tcPr>
          <w:p>
            <w:pPr>
              <w:numPr>
                <w:ilvl w:val="0"/>
                <w:numId w:val="0"/>
              </w:numPr>
              <w:shd w:val="clear"/>
              <w:spacing w:line="240" w:lineRule="auto"/>
              <w:ind w:left="0" w:leftChars="0" w:firstLine="0" w:firstLineChars="0"/>
              <w:jc w:val="center"/>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套</w:t>
            </w:r>
          </w:p>
        </w:tc>
        <w:tc>
          <w:tcPr>
            <w:tcW w:w="750" w:type="dxa"/>
            <w:shd w:val="clear" w:color="auto" w:fill="auto"/>
            <w:vAlign w:val="center"/>
          </w:tcPr>
          <w:p>
            <w:pPr>
              <w:numPr>
                <w:ilvl w:val="0"/>
                <w:numId w:val="0"/>
              </w:numPr>
              <w:shd w:val="clear"/>
              <w:spacing w:line="240" w:lineRule="auto"/>
              <w:jc w:val="center"/>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900" w:type="dxa"/>
            <w:shd w:val="clear" w:color="auto" w:fill="auto"/>
            <w:vAlign w:val="center"/>
          </w:tcPr>
          <w:p>
            <w:pPr>
              <w:widowControl/>
              <w:shd w:val="clear"/>
              <w:jc w:val="center"/>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接供货通知后1</w:t>
            </w: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日内</w:t>
            </w:r>
          </w:p>
        </w:tc>
        <w:tc>
          <w:tcPr>
            <w:tcW w:w="954" w:type="dxa"/>
            <w:vAlign w:val="center"/>
          </w:tcPr>
          <w:p>
            <w:pPr>
              <w:widowControl/>
              <w:shd w:val="clear"/>
              <w:jc w:val="center"/>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lang w:val="en-US" w:eastAsia="zh-CN"/>
              </w:rPr>
              <w:t>24</w:t>
            </w:r>
            <w:r>
              <w:rPr>
                <w:rFonts w:hint="eastAsia" w:ascii="宋体" w:hAnsi="宋体" w:eastAsia="宋体" w:cs="宋体"/>
                <w:color w:val="auto"/>
                <w:kern w:val="0"/>
                <w:sz w:val="24"/>
                <w:szCs w:val="24"/>
                <w:highlight w:val="none"/>
              </w:rPr>
              <w:t>个月</w:t>
            </w:r>
          </w:p>
        </w:tc>
        <w:tc>
          <w:tcPr>
            <w:tcW w:w="1050" w:type="dxa"/>
            <w:shd w:val="clear" w:color="auto" w:fill="auto"/>
            <w:vAlign w:val="center"/>
          </w:tcPr>
          <w:p>
            <w:pPr>
              <w:widowControl/>
              <w:shd w:val="clear"/>
              <w:jc w:val="center"/>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t>买方指定地点</w:t>
            </w:r>
          </w:p>
        </w:tc>
        <w:tc>
          <w:tcPr>
            <w:tcW w:w="2049" w:type="dxa"/>
            <w:vMerge w:val="restart"/>
            <w:shd w:val="clear" w:color="auto" w:fill="auto"/>
            <w:vAlign w:val="center"/>
          </w:tcPr>
          <w:p>
            <w:pPr>
              <w:widowControl/>
              <w:shd w:val="clear"/>
              <w:jc w:val="center"/>
              <w:rPr>
                <w:rFonts w:hint="eastAsia" w:ascii="宋体" w:hAnsi="宋体" w:eastAsia="宋体" w:cs="宋体"/>
                <w:color w:val="auto"/>
                <w:sz w:val="24"/>
                <w:szCs w:val="24"/>
                <w:highlight w:val="none"/>
                <w:lang w:eastAsia="zh-CN"/>
              </w:rPr>
            </w:pPr>
            <w:r>
              <w:rPr>
                <w:rFonts w:hint="eastAsia" w:ascii="宋体" w:hAnsi="宋体" w:eastAsia="宋体" w:cs="宋体"/>
                <w:b/>
                <w:bCs/>
                <w:color w:val="auto"/>
                <w:kern w:val="0"/>
                <w:sz w:val="24"/>
                <w:szCs w:val="24"/>
                <w:highlight w:val="none"/>
              </w:rPr>
              <w:t>业绩要求</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color w:val="auto"/>
                <w:kern w:val="0"/>
                <w:sz w:val="24"/>
                <w:szCs w:val="24"/>
                <w:highlight w:val="none"/>
              </w:rPr>
              <w:t>202</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年1月1日至招标采购公告发布日止，</w:t>
            </w:r>
            <w:r>
              <w:rPr>
                <w:rFonts w:hint="eastAsia" w:ascii="宋体" w:hAnsi="宋体" w:eastAsia="宋体" w:cs="宋体"/>
                <w:color w:val="auto"/>
                <w:kern w:val="0"/>
                <w:sz w:val="24"/>
                <w:szCs w:val="24"/>
                <w:highlight w:val="none"/>
                <w:lang w:val="en-US" w:eastAsia="zh-CN"/>
              </w:rPr>
              <w:t>投标方</w:t>
            </w:r>
            <w:r>
              <w:rPr>
                <w:rFonts w:hint="eastAsia" w:ascii="宋体" w:hAnsi="宋体" w:eastAsia="宋体" w:cs="宋体"/>
                <w:color w:val="auto"/>
                <w:kern w:val="0"/>
                <w:sz w:val="24"/>
                <w:szCs w:val="24"/>
                <w:highlight w:val="none"/>
              </w:rPr>
              <w:t>完成过</w:t>
            </w:r>
            <w:r>
              <w:rPr>
                <w:rFonts w:hint="eastAsia" w:ascii="宋体" w:hAnsi="宋体" w:eastAsia="宋体" w:cs="宋体"/>
                <w:color w:val="auto"/>
                <w:kern w:val="0"/>
                <w:sz w:val="24"/>
                <w:szCs w:val="24"/>
                <w:highlight w:val="none"/>
                <w:lang w:val="en-US" w:eastAsia="zh-CN"/>
              </w:rPr>
              <w:t>机器人</w:t>
            </w:r>
            <w:r>
              <w:rPr>
                <w:rFonts w:hint="eastAsia" w:ascii="宋体" w:hAnsi="宋体" w:eastAsia="宋体" w:cs="宋体"/>
                <w:color w:val="auto"/>
                <w:kern w:val="0"/>
                <w:sz w:val="24"/>
                <w:szCs w:val="24"/>
                <w:highlight w:val="none"/>
              </w:rPr>
              <w:t>或</w:t>
            </w:r>
            <w:r>
              <w:rPr>
                <w:rFonts w:hint="eastAsia" w:ascii="宋体" w:hAnsi="宋体" w:eastAsia="宋体" w:cs="宋体"/>
                <w:color w:val="auto"/>
                <w:kern w:val="0"/>
                <w:sz w:val="24"/>
                <w:szCs w:val="24"/>
                <w:highlight w:val="none"/>
                <w:lang w:val="en-US" w:eastAsia="zh-CN"/>
              </w:rPr>
              <w:t>组部件（包含检测单元或运动单元或操作单元）</w:t>
            </w:r>
            <w:r>
              <w:rPr>
                <w:rFonts w:hint="eastAsia" w:ascii="宋体" w:hAnsi="宋体" w:eastAsia="宋体" w:cs="宋体"/>
                <w:color w:val="auto"/>
                <w:kern w:val="0"/>
                <w:sz w:val="24"/>
                <w:szCs w:val="24"/>
                <w:highlight w:val="none"/>
              </w:rPr>
              <w:t>销售</w:t>
            </w:r>
            <w:r>
              <w:rPr>
                <w:rFonts w:hint="eastAsia" w:ascii="宋体" w:hAnsi="宋体" w:eastAsia="宋体" w:cs="宋体"/>
                <w:color w:val="auto"/>
                <w:kern w:val="0"/>
                <w:sz w:val="24"/>
                <w:szCs w:val="24"/>
                <w:highlight w:val="none"/>
                <w:lang w:val="en-US" w:eastAsia="zh-CN"/>
              </w:rPr>
              <w:t>业绩</w:t>
            </w:r>
            <w:r>
              <w:rPr>
                <w:rFonts w:hint="eastAsia" w:ascii="宋体" w:hAnsi="宋体" w:eastAsia="宋体" w:cs="宋体"/>
                <w:color w:val="auto"/>
                <w:kern w:val="0"/>
                <w:sz w:val="24"/>
                <w:szCs w:val="24"/>
                <w:highlight w:val="none"/>
              </w:rPr>
              <w:t>不少于2份，合同额累计不少于</w:t>
            </w:r>
            <w:r>
              <w:rPr>
                <w:rFonts w:hint="eastAsia" w:ascii="宋体" w:hAnsi="宋体" w:eastAsia="宋体" w:cs="宋体"/>
                <w:color w:val="auto"/>
                <w:kern w:val="0"/>
                <w:sz w:val="24"/>
                <w:szCs w:val="24"/>
                <w:highlight w:val="none"/>
                <w:lang w:val="en-US" w:eastAsia="zh-CN"/>
              </w:rPr>
              <w:t>100</w:t>
            </w:r>
            <w:r>
              <w:rPr>
                <w:rFonts w:hint="eastAsia" w:ascii="宋体" w:hAnsi="宋体" w:eastAsia="宋体" w:cs="宋体"/>
                <w:color w:val="auto"/>
                <w:kern w:val="0"/>
                <w:sz w:val="24"/>
                <w:szCs w:val="24"/>
                <w:highlight w:val="none"/>
              </w:rPr>
              <w:t>万。</w:t>
            </w:r>
            <w:r>
              <w:rPr>
                <w:rFonts w:hint="eastAsia" w:ascii="宋体" w:hAnsi="宋体" w:eastAsia="宋体" w:cs="宋体"/>
                <w:color w:val="auto"/>
                <w:kern w:val="0"/>
                <w:sz w:val="24"/>
                <w:szCs w:val="24"/>
                <w:highlight w:val="none"/>
                <w:lang w:val="en-US" w:eastAsia="zh-CN"/>
              </w:rPr>
              <w:t>注:业绩必须提供对应的合同复印件、发票和相应查验截图。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0" w:type="auto"/>
            <w:vMerge w:val="continue"/>
            <w:vAlign w:val="center"/>
          </w:tcPr>
          <w:p>
            <w:pPr>
              <w:widowControl/>
              <w:shd w:val="clear"/>
              <w:jc w:val="center"/>
              <w:rPr>
                <w:rFonts w:hint="eastAsia" w:ascii="宋体" w:hAnsi="宋体" w:eastAsia="宋体" w:cs="宋体"/>
                <w:i w:val="0"/>
                <w:iCs w:val="0"/>
                <w:color w:val="auto"/>
                <w:kern w:val="0"/>
                <w:sz w:val="24"/>
                <w:szCs w:val="24"/>
                <w:highlight w:val="none"/>
                <w:u w:val="none"/>
                <w:lang w:val="en-US" w:eastAsia="zh-CN" w:bidi="ar"/>
              </w:rPr>
            </w:pPr>
          </w:p>
        </w:tc>
        <w:tc>
          <w:tcPr>
            <w:tcW w:w="0" w:type="auto"/>
            <w:shd w:val="clear" w:color="auto" w:fill="auto"/>
            <w:vAlign w:val="center"/>
          </w:tcPr>
          <w:p>
            <w:pPr>
              <w:widowControl/>
              <w:shd w:val="clear"/>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操作模组</w:t>
            </w:r>
          </w:p>
        </w:tc>
        <w:tc>
          <w:tcPr>
            <w:tcW w:w="6010" w:type="dxa"/>
            <w:shd w:val="clear" w:color="auto" w:fill="auto"/>
            <w:vAlign w:val="center"/>
          </w:tcPr>
          <w:p>
            <w:pPr>
              <w:widowControl/>
              <w:shd w:val="clear"/>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机械臂定位精度不低于±0.5mm；</w:t>
            </w:r>
          </w:p>
          <w:p>
            <w:pPr>
              <w:widowControl/>
              <w:shd w:val="clear"/>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操作高度范围：600~2100mm；</w:t>
            </w:r>
          </w:p>
          <w:p>
            <w:pPr>
              <w:widowControl/>
              <w:shd w:val="clea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具备倒闸操作、应急操作、一键顺控操作功能。</w:t>
            </w:r>
          </w:p>
        </w:tc>
        <w:tc>
          <w:tcPr>
            <w:tcW w:w="654" w:type="dxa"/>
            <w:shd w:val="clear" w:color="auto" w:fill="auto"/>
            <w:vAlign w:val="center"/>
          </w:tcPr>
          <w:p>
            <w:pPr>
              <w:numPr>
                <w:ilvl w:val="0"/>
                <w:numId w:val="0"/>
              </w:numPr>
              <w:shd w:val="clear"/>
              <w:spacing w:line="240" w:lineRule="auto"/>
              <w:ind w:left="0" w:leftChars="0" w:firstLine="0" w:firstLineChars="0"/>
              <w:jc w:val="center"/>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套</w:t>
            </w:r>
          </w:p>
        </w:tc>
        <w:tc>
          <w:tcPr>
            <w:tcW w:w="750" w:type="dxa"/>
            <w:shd w:val="clear" w:color="auto" w:fill="auto"/>
            <w:vAlign w:val="center"/>
          </w:tcPr>
          <w:p>
            <w:pPr>
              <w:numPr>
                <w:ilvl w:val="0"/>
                <w:numId w:val="0"/>
              </w:numPr>
              <w:shd w:val="clear"/>
              <w:spacing w:line="240" w:lineRule="auto"/>
              <w:jc w:val="center"/>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900" w:type="dxa"/>
            <w:shd w:val="clear" w:color="auto" w:fill="auto"/>
            <w:vAlign w:val="center"/>
          </w:tcPr>
          <w:p>
            <w:pPr>
              <w:widowControl/>
              <w:shd w:val="clear"/>
              <w:jc w:val="center"/>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接供货通知后1</w:t>
            </w: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日内</w:t>
            </w:r>
          </w:p>
        </w:tc>
        <w:tc>
          <w:tcPr>
            <w:tcW w:w="954" w:type="dxa"/>
            <w:vAlign w:val="center"/>
          </w:tcPr>
          <w:p>
            <w:pPr>
              <w:widowControl/>
              <w:shd w:val="clear"/>
              <w:jc w:val="center"/>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24</w:t>
            </w:r>
            <w:r>
              <w:rPr>
                <w:rFonts w:hint="eastAsia" w:ascii="宋体" w:hAnsi="宋体" w:eastAsia="宋体" w:cs="宋体"/>
                <w:color w:val="auto"/>
                <w:kern w:val="0"/>
                <w:sz w:val="24"/>
                <w:szCs w:val="24"/>
                <w:highlight w:val="none"/>
              </w:rPr>
              <w:t>个月</w:t>
            </w:r>
          </w:p>
        </w:tc>
        <w:tc>
          <w:tcPr>
            <w:tcW w:w="1050" w:type="dxa"/>
            <w:shd w:val="clear" w:color="auto" w:fill="auto"/>
            <w:vAlign w:val="center"/>
          </w:tcPr>
          <w:p>
            <w:pPr>
              <w:widowControl/>
              <w:shd w:val="clear"/>
              <w:jc w:val="center"/>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color w:val="auto"/>
                <w:sz w:val="24"/>
                <w:szCs w:val="24"/>
                <w:highlight w:val="none"/>
              </w:rPr>
              <w:t>买方指定地点</w:t>
            </w:r>
          </w:p>
        </w:tc>
        <w:tc>
          <w:tcPr>
            <w:tcW w:w="2049" w:type="dxa"/>
            <w:vMerge w:val="continue"/>
            <w:shd w:val="clear" w:color="auto" w:fill="auto"/>
            <w:vAlign w:val="center"/>
          </w:tcPr>
          <w:p>
            <w:pPr>
              <w:widowControl/>
              <w:shd w:val="clea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0" w:type="auto"/>
            <w:vMerge w:val="continue"/>
            <w:vAlign w:val="center"/>
          </w:tcPr>
          <w:p>
            <w:pPr>
              <w:widowControl/>
              <w:shd w:val="clear"/>
              <w:jc w:val="center"/>
              <w:rPr>
                <w:rFonts w:hint="eastAsia" w:ascii="宋体" w:hAnsi="宋体" w:eastAsia="宋体" w:cs="宋体"/>
                <w:i w:val="0"/>
                <w:iCs w:val="0"/>
                <w:color w:val="auto"/>
                <w:kern w:val="0"/>
                <w:sz w:val="24"/>
                <w:szCs w:val="24"/>
                <w:highlight w:val="none"/>
                <w:u w:val="none"/>
                <w:lang w:val="en-US" w:eastAsia="zh-CN" w:bidi="ar"/>
              </w:rPr>
            </w:pPr>
          </w:p>
        </w:tc>
        <w:tc>
          <w:tcPr>
            <w:tcW w:w="0" w:type="auto"/>
            <w:shd w:val="clear" w:color="auto" w:fill="auto"/>
            <w:vAlign w:val="center"/>
          </w:tcPr>
          <w:p>
            <w:pPr>
              <w:widowControl/>
              <w:shd w:val="clear"/>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外壳</w:t>
            </w:r>
          </w:p>
        </w:tc>
        <w:tc>
          <w:tcPr>
            <w:tcW w:w="6010" w:type="dxa"/>
            <w:shd w:val="clear" w:color="auto" w:fill="auto"/>
            <w:vAlign w:val="center"/>
          </w:tcPr>
          <w:p>
            <w:pPr>
              <w:pStyle w:val="15"/>
              <w:keepNext w:val="0"/>
              <w:keepLines w:val="0"/>
              <w:pageBreakBefore w:val="0"/>
              <w:widowControl/>
              <w:numPr>
                <w:ilvl w:val="0"/>
                <w:numId w:val="0"/>
              </w:numPr>
              <w:shd w:val="clear"/>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（1）外壳表面应有保护涂层或防腐设计，外表应光洁、均匀， 不应有伤痕、毛刺等其它缺陷。</w:t>
            </w:r>
          </w:p>
          <w:p>
            <w:pPr>
              <w:pStyle w:val="15"/>
              <w:keepNext w:val="0"/>
              <w:keepLines w:val="0"/>
              <w:pageBreakBefore w:val="0"/>
              <w:widowControl/>
              <w:numPr>
                <w:ilvl w:val="0"/>
                <w:numId w:val="0"/>
              </w:numPr>
              <w:shd w:val="clear"/>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（2）外壳应采取必要的防静电及防电磁场干扰措施。</w:t>
            </w:r>
          </w:p>
          <w:p>
            <w:pPr>
              <w:pStyle w:val="15"/>
              <w:keepNext w:val="0"/>
              <w:keepLines w:val="0"/>
              <w:pageBreakBefore w:val="0"/>
              <w:widowControl/>
              <w:numPr>
                <w:ilvl w:val="0"/>
                <w:numId w:val="0"/>
              </w:numPr>
              <w:shd w:val="clear"/>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（3）外壳和电器部件的外壳均不应带电。</w:t>
            </w:r>
          </w:p>
          <w:p>
            <w:pPr>
              <w:shd w:val="clea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（4）内部电气线路应排列整齐、固定牢靠、走向合理，便于安装、维护，并用醒目的颜色和标志加以区分；电气系统不得有漏电现象。</w:t>
            </w:r>
          </w:p>
        </w:tc>
        <w:tc>
          <w:tcPr>
            <w:tcW w:w="654" w:type="dxa"/>
            <w:shd w:val="clear" w:color="auto" w:fill="auto"/>
            <w:vAlign w:val="center"/>
          </w:tcPr>
          <w:p>
            <w:pPr>
              <w:numPr>
                <w:ilvl w:val="0"/>
                <w:numId w:val="0"/>
              </w:numPr>
              <w:shd w:val="clear"/>
              <w:spacing w:line="240" w:lineRule="auto"/>
              <w:ind w:left="0" w:leftChars="0" w:firstLine="0" w:firstLineChars="0"/>
              <w:jc w:val="center"/>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套</w:t>
            </w:r>
          </w:p>
        </w:tc>
        <w:tc>
          <w:tcPr>
            <w:tcW w:w="750" w:type="dxa"/>
            <w:shd w:val="clear" w:color="auto" w:fill="auto"/>
            <w:vAlign w:val="center"/>
          </w:tcPr>
          <w:p>
            <w:pPr>
              <w:numPr>
                <w:ilvl w:val="0"/>
                <w:numId w:val="0"/>
              </w:numPr>
              <w:shd w:val="clear"/>
              <w:spacing w:line="240" w:lineRule="auto"/>
              <w:ind w:left="0" w:leftChars="0" w:firstLine="0" w:firstLineChars="0"/>
              <w:jc w:val="center"/>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900" w:type="dxa"/>
            <w:shd w:val="clear" w:color="auto" w:fill="auto"/>
            <w:vAlign w:val="center"/>
          </w:tcPr>
          <w:p>
            <w:pPr>
              <w:widowControl/>
              <w:shd w:val="clea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接供货通知后1</w:t>
            </w: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日内</w:t>
            </w:r>
          </w:p>
        </w:tc>
        <w:tc>
          <w:tcPr>
            <w:tcW w:w="954" w:type="dxa"/>
            <w:vAlign w:val="center"/>
          </w:tcPr>
          <w:p>
            <w:pPr>
              <w:widowControl/>
              <w:shd w:val="clear"/>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24</w:t>
            </w:r>
            <w:r>
              <w:rPr>
                <w:rFonts w:hint="eastAsia" w:ascii="宋体" w:hAnsi="宋体" w:eastAsia="宋体" w:cs="宋体"/>
                <w:color w:val="auto"/>
                <w:kern w:val="0"/>
                <w:sz w:val="24"/>
                <w:szCs w:val="24"/>
                <w:highlight w:val="none"/>
              </w:rPr>
              <w:t>个月</w:t>
            </w:r>
          </w:p>
        </w:tc>
        <w:tc>
          <w:tcPr>
            <w:tcW w:w="1050" w:type="dxa"/>
            <w:shd w:val="clear" w:color="auto" w:fill="auto"/>
            <w:vAlign w:val="center"/>
          </w:tcPr>
          <w:p>
            <w:pPr>
              <w:widowControl/>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买方指定地点</w:t>
            </w:r>
          </w:p>
        </w:tc>
        <w:tc>
          <w:tcPr>
            <w:tcW w:w="2049" w:type="dxa"/>
            <w:vMerge w:val="continue"/>
            <w:shd w:val="clear" w:color="auto" w:fill="auto"/>
            <w:vAlign w:val="center"/>
          </w:tcPr>
          <w:p>
            <w:pPr>
              <w:widowControl/>
              <w:shd w:val="clea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0" w:type="auto"/>
            <w:vMerge w:val="continue"/>
            <w:vAlign w:val="center"/>
          </w:tcPr>
          <w:p>
            <w:pPr>
              <w:widowControl/>
              <w:shd w:val="clear"/>
              <w:jc w:val="center"/>
              <w:rPr>
                <w:rFonts w:hint="eastAsia" w:ascii="宋体" w:hAnsi="宋体" w:eastAsia="宋体" w:cs="宋体"/>
                <w:i w:val="0"/>
                <w:iCs w:val="0"/>
                <w:color w:val="auto"/>
                <w:kern w:val="0"/>
                <w:sz w:val="24"/>
                <w:szCs w:val="24"/>
                <w:highlight w:val="none"/>
                <w:u w:val="none"/>
                <w:lang w:val="en-US" w:eastAsia="zh-CN" w:bidi="ar"/>
              </w:rPr>
            </w:pPr>
          </w:p>
        </w:tc>
        <w:tc>
          <w:tcPr>
            <w:tcW w:w="0" w:type="auto"/>
            <w:shd w:val="clear" w:color="auto" w:fill="auto"/>
            <w:vAlign w:val="center"/>
          </w:tcPr>
          <w:p>
            <w:pPr>
              <w:widowControl/>
              <w:shd w:val="clear"/>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通讯模块</w:t>
            </w:r>
          </w:p>
        </w:tc>
        <w:tc>
          <w:tcPr>
            <w:tcW w:w="6010" w:type="dxa"/>
            <w:shd w:val="clear" w:color="auto" w:fill="auto"/>
            <w:vAlign w:val="center"/>
          </w:tcPr>
          <w:p>
            <w:pPr>
              <w:pStyle w:val="15"/>
              <w:keepNext w:val="0"/>
              <w:keepLines w:val="0"/>
              <w:pageBreakBefore w:val="0"/>
              <w:widowControl/>
              <w:numPr>
                <w:ilvl w:val="0"/>
                <w:numId w:val="0"/>
              </w:numPr>
              <w:shd w:val="clear"/>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两台或两台以上移动式电力智能联动操作平台在同一变电站内工作时，其控制信号应不相互干扰。站内监控后台应可实时、可靠地与移动式电力智能联动操作平台进行数据交互</w:t>
            </w:r>
          </w:p>
        </w:tc>
        <w:tc>
          <w:tcPr>
            <w:tcW w:w="654" w:type="dxa"/>
            <w:shd w:val="clear" w:color="auto" w:fill="auto"/>
            <w:vAlign w:val="center"/>
          </w:tcPr>
          <w:p>
            <w:pPr>
              <w:numPr>
                <w:ilvl w:val="0"/>
                <w:numId w:val="0"/>
              </w:numPr>
              <w:shd w:val="clear"/>
              <w:spacing w:line="240" w:lineRule="auto"/>
              <w:ind w:left="0" w:leftChars="0" w:firstLine="0" w:firstLineChars="0"/>
              <w:jc w:val="center"/>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套</w:t>
            </w:r>
          </w:p>
        </w:tc>
        <w:tc>
          <w:tcPr>
            <w:tcW w:w="750" w:type="dxa"/>
            <w:shd w:val="clear" w:color="auto" w:fill="auto"/>
            <w:vAlign w:val="center"/>
          </w:tcPr>
          <w:p>
            <w:pPr>
              <w:numPr>
                <w:ilvl w:val="0"/>
                <w:numId w:val="0"/>
              </w:numPr>
              <w:shd w:val="clear"/>
              <w:spacing w:line="240" w:lineRule="auto"/>
              <w:ind w:left="0" w:leftChars="0" w:firstLine="0" w:firstLineChars="0"/>
              <w:jc w:val="center"/>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900" w:type="dxa"/>
            <w:shd w:val="clear" w:color="auto" w:fill="auto"/>
            <w:vAlign w:val="center"/>
          </w:tcPr>
          <w:p>
            <w:pPr>
              <w:widowControl/>
              <w:shd w:val="clea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接供货通知后1</w:t>
            </w: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日内</w:t>
            </w:r>
          </w:p>
        </w:tc>
        <w:tc>
          <w:tcPr>
            <w:tcW w:w="954" w:type="dxa"/>
            <w:vAlign w:val="center"/>
          </w:tcPr>
          <w:p>
            <w:pPr>
              <w:widowControl/>
              <w:shd w:val="clear"/>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24</w:t>
            </w:r>
            <w:r>
              <w:rPr>
                <w:rFonts w:hint="eastAsia" w:ascii="宋体" w:hAnsi="宋体" w:eastAsia="宋体" w:cs="宋体"/>
                <w:color w:val="auto"/>
                <w:kern w:val="0"/>
                <w:sz w:val="24"/>
                <w:szCs w:val="24"/>
                <w:highlight w:val="none"/>
              </w:rPr>
              <w:t>个月</w:t>
            </w:r>
          </w:p>
        </w:tc>
        <w:tc>
          <w:tcPr>
            <w:tcW w:w="1050" w:type="dxa"/>
            <w:shd w:val="clear" w:color="auto" w:fill="auto"/>
            <w:vAlign w:val="center"/>
          </w:tcPr>
          <w:p>
            <w:pPr>
              <w:widowControl/>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买方指定地点</w:t>
            </w:r>
          </w:p>
        </w:tc>
        <w:tc>
          <w:tcPr>
            <w:tcW w:w="2049" w:type="dxa"/>
            <w:vMerge w:val="continue"/>
            <w:shd w:val="clear" w:color="auto" w:fill="auto"/>
            <w:vAlign w:val="center"/>
          </w:tcPr>
          <w:p>
            <w:pPr>
              <w:widowControl/>
              <w:shd w:val="clea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0" w:type="auto"/>
            <w:vMerge w:val="continue"/>
            <w:vAlign w:val="center"/>
          </w:tcPr>
          <w:p>
            <w:pPr>
              <w:widowControl/>
              <w:shd w:val="clear"/>
              <w:jc w:val="center"/>
              <w:rPr>
                <w:rFonts w:hint="eastAsia" w:ascii="宋体" w:hAnsi="宋体" w:eastAsia="宋体" w:cs="宋体"/>
                <w:i w:val="0"/>
                <w:iCs w:val="0"/>
                <w:color w:val="auto"/>
                <w:kern w:val="0"/>
                <w:sz w:val="24"/>
                <w:szCs w:val="24"/>
                <w:highlight w:val="none"/>
                <w:u w:val="none"/>
                <w:lang w:val="en-US" w:eastAsia="zh-CN" w:bidi="ar"/>
              </w:rPr>
            </w:pPr>
          </w:p>
        </w:tc>
        <w:tc>
          <w:tcPr>
            <w:tcW w:w="0" w:type="auto"/>
            <w:shd w:val="clear" w:color="auto" w:fill="auto"/>
            <w:vAlign w:val="center"/>
          </w:tcPr>
          <w:p>
            <w:pPr>
              <w:widowControl/>
              <w:shd w:val="clear"/>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运动导航模组</w:t>
            </w:r>
          </w:p>
        </w:tc>
        <w:tc>
          <w:tcPr>
            <w:tcW w:w="6010" w:type="dxa"/>
            <w:shd w:val="clear" w:color="auto" w:fill="auto"/>
            <w:vAlign w:val="center"/>
          </w:tcPr>
          <w:p>
            <w:pPr>
              <w:pStyle w:val="15"/>
              <w:keepNext w:val="0"/>
              <w:keepLines w:val="0"/>
              <w:pageBreakBefore w:val="0"/>
              <w:widowControl/>
              <w:numPr>
                <w:ilvl w:val="0"/>
                <w:numId w:val="0"/>
              </w:numPr>
              <w:shd w:val="clear"/>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zh-CN"/>
              </w:rPr>
              <w:t>实现高精度无轨自主导航；</w:t>
            </w:r>
          </w:p>
          <w:p>
            <w:pPr>
              <w:pStyle w:val="15"/>
              <w:keepNext w:val="0"/>
              <w:keepLines w:val="0"/>
              <w:pageBreakBefore w:val="0"/>
              <w:widowControl/>
              <w:numPr>
                <w:ilvl w:val="0"/>
                <w:numId w:val="0"/>
              </w:numPr>
              <w:shd w:val="clear"/>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在水平地面上的最大速度应不小于1 m/s；</w:t>
            </w:r>
          </w:p>
          <w:p>
            <w:pPr>
              <w:pStyle w:val="15"/>
              <w:keepNext w:val="0"/>
              <w:keepLines w:val="0"/>
              <w:pageBreakBefore w:val="0"/>
              <w:widowControl/>
              <w:numPr>
                <w:ilvl w:val="0"/>
                <w:numId w:val="0"/>
              </w:numPr>
              <w:shd w:val="clear"/>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最小转弯直径应不大于其本身长度的2倍；</w:t>
            </w:r>
          </w:p>
          <w:p>
            <w:pPr>
              <w:pStyle w:val="15"/>
              <w:keepNext w:val="0"/>
              <w:keepLines w:val="0"/>
              <w:pageBreakBefore w:val="0"/>
              <w:widowControl/>
              <w:numPr>
                <w:ilvl w:val="0"/>
                <w:numId w:val="0"/>
              </w:numPr>
              <w:shd w:val="clear"/>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爬坡能力应不小于5度；</w:t>
            </w:r>
          </w:p>
          <w:p>
            <w:pPr>
              <w:pStyle w:val="15"/>
              <w:keepNext w:val="0"/>
              <w:keepLines w:val="0"/>
              <w:pageBreakBefore w:val="0"/>
              <w:widowControl/>
              <w:numPr>
                <w:ilvl w:val="0"/>
                <w:numId w:val="0"/>
              </w:numPr>
              <w:shd w:val="clear"/>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具备越障能力，越障高度不低于10mm；</w:t>
            </w:r>
          </w:p>
          <w:p>
            <w:pPr>
              <w:pStyle w:val="15"/>
              <w:keepNext w:val="0"/>
              <w:keepLines w:val="0"/>
              <w:pageBreakBefore w:val="0"/>
              <w:widowControl/>
              <w:numPr>
                <w:ilvl w:val="0"/>
                <w:numId w:val="0"/>
              </w:numPr>
              <w:shd w:val="clear"/>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重复导航定位误差不大于±10mm。</w:t>
            </w:r>
          </w:p>
        </w:tc>
        <w:tc>
          <w:tcPr>
            <w:tcW w:w="654" w:type="dxa"/>
            <w:shd w:val="clear" w:color="auto" w:fill="auto"/>
            <w:vAlign w:val="center"/>
          </w:tcPr>
          <w:p>
            <w:pPr>
              <w:numPr>
                <w:ilvl w:val="0"/>
                <w:numId w:val="0"/>
              </w:numPr>
              <w:shd w:val="clear"/>
              <w:spacing w:line="240" w:lineRule="auto"/>
              <w:ind w:left="0" w:leftChars="0" w:firstLine="0" w:firstLineChars="0"/>
              <w:jc w:val="center"/>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套</w:t>
            </w:r>
          </w:p>
        </w:tc>
        <w:tc>
          <w:tcPr>
            <w:tcW w:w="750" w:type="dxa"/>
            <w:shd w:val="clear" w:color="auto" w:fill="auto"/>
            <w:vAlign w:val="center"/>
          </w:tcPr>
          <w:p>
            <w:pPr>
              <w:numPr>
                <w:ilvl w:val="0"/>
                <w:numId w:val="0"/>
              </w:numPr>
              <w:shd w:val="clear"/>
              <w:spacing w:line="240" w:lineRule="auto"/>
              <w:ind w:left="0" w:leftChars="0" w:firstLine="0" w:firstLineChars="0"/>
              <w:jc w:val="center"/>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900" w:type="dxa"/>
            <w:shd w:val="clear" w:color="auto" w:fill="auto"/>
            <w:vAlign w:val="center"/>
          </w:tcPr>
          <w:p>
            <w:pPr>
              <w:widowControl/>
              <w:shd w:val="clea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接供货通知后1</w:t>
            </w: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日内</w:t>
            </w:r>
          </w:p>
        </w:tc>
        <w:tc>
          <w:tcPr>
            <w:tcW w:w="954" w:type="dxa"/>
            <w:vAlign w:val="center"/>
          </w:tcPr>
          <w:p>
            <w:pPr>
              <w:widowControl/>
              <w:shd w:val="clear"/>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24</w:t>
            </w:r>
            <w:r>
              <w:rPr>
                <w:rFonts w:hint="eastAsia" w:ascii="宋体" w:hAnsi="宋体" w:eastAsia="宋体" w:cs="宋体"/>
                <w:color w:val="auto"/>
                <w:kern w:val="0"/>
                <w:sz w:val="24"/>
                <w:szCs w:val="24"/>
                <w:highlight w:val="none"/>
              </w:rPr>
              <w:t>个月</w:t>
            </w:r>
          </w:p>
        </w:tc>
        <w:tc>
          <w:tcPr>
            <w:tcW w:w="1050" w:type="dxa"/>
            <w:shd w:val="clear" w:color="auto" w:fill="auto"/>
            <w:vAlign w:val="center"/>
          </w:tcPr>
          <w:p>
            <w:pPr>
              <w:widowControl/>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买方指定地点</w:t>
            </w:r>
          </w:p>
        </w:tc>
        <w:tc>
          <w:tcPr>
            <w:tcW w:w="2049" w:type="dxa"/>
            <w:vMerge w:val="continue"/>
            <w:shd w:val="clear" w:color="auto" w:fill="auto"/>
            <w:vAlign w:val="center"/>
          </w:tcPr>
          <w:p>
            <w:pPr>
              <w:widowControl/>
              <w:shd w:val="clea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0" w:type="auto"/>
            <w:vMerge w:val="continue"/>
            <w:vAlign w:val="center"/>
          </w:tcPr>
          <w:p>
            <w:pPr>
              <w:widowControl/>
              <w:shd w:val="clear"/>
              <w:jc w:val="center"/>
              <w:rPr>
                <w:rFonts w:hint="eastAsia" w:ascii="宋体" w:hAnsi="宋体" w:eastAsia="宋体" w:cs="宋体"/>
                <w:i w:val="0"/>
                <w:iCs w:val="0"/>
                <w:color w:val="auto"/>
                <w:kern w:val="0"/>
                <w:sz w:val="24"/>
                <w:szCs w:val="24"/>
                <w:highlight w:val="none"/>
                <w:u w:val="none"/>
                <w:lang w:val="en-US" w:eastAsia="zh-CN" w:bidi="ar"/>
              </w:rPr>
            </w:pPr>
          </w:p>
        </w:tc>
        <w:tc>
          <w:tcPr>
            <w:tcW w:w="0" w:type="auto"/>
            <w:shd w:val="clear" w:color="auto" w:fill="auto"/>
            <w:vAlign w:val="center"/>
          </w:tcPr>
          <w:p>
            <w:pPr>
              <w:widowControl/>
              <w:shd w:val="clear"/>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充电桩</w:t>
            </w:r>
          </w:p>
        </w:tc>
        <w:tc>
          <w:tcPr>
            <w:tcW w:w="6010" w:type="dxa"/>
            <w:shd w:val="clear" w:color="auto" w:fill="auto"/>
            <w:vAlign w:val="center"/>
          </w:tcPr>
          <w:p>
            <w:pPr>
              <w:pStyle w:val="15"/>
              <w:keepNext w:val="0"/>
              <w:keepLines w:val="0"/>
              <w:pageBreakBefore w:val="0"/>
              <w:widowControl/>
              <w:numPr>
                <w:ilvl w:val="0"/>
                <w:numId w:val="0"/>
              </w:numPr>
              <w:shd w:val="clear"/>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输入电压：AC220V；输出功率≥2KW；</w:t>
            </w:r>
          </w:p>
          <w:p>
            <w:pPr>
              <w:pStyle w:val="15"/>
              <w:keepNext w:val="0"/>
              <w:keepLines w:val="0"/>
              <w:pageBreakBefore w:val="0"/>
              <w:widowControl/>
              <w:numPr>
                <w:ilvl w:val="0"/>
                <w:numId w:val="0"/>
              </w:numPr>
              <w:shd w:val="clear"/>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输出电压：DC36~60V；输出电流：0~50A；</w:t>
            </w:r>
          </w:p>
          <w:p>
            <w:pPr>
              <w:pStyle w:val="15"/>
              <w:keepNext w:val="0"/>
              <w:keepLines w:val="0"/>
              <w:pageBreakBefore w:val="0"/>
              <w:widowControl/>
              <w:numPr>
                <w:ilvl w:val="0"/>
                <w:numId w:val="0"/>
              </w:numPr>
              <w:shd w:val="clear"/>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充电桩具备电池反接保护、输出短路保护、输出过压保护、过温保护。</w:t>
            </w:r>
          </w:p>
        </w:tc>
        <w:tc>
          <w:tcPr>
            <w:tcW w:w="654" w:type="dxa"/>
            <w:shd w:val="clear" w:color="auto" w:fill="auto"/>
            <w:vAlign w:val="center"/>
          </w:tcPr>
          <w:p>
            <w:pPr>
              <w:numPr>
                <w:ilvl w:val="0"/>
                <w:numId w:val="0"/>
              </w:numPr>
              <w:shd w:val="clear"/>
              <w:spacing w:line="240" w:lineRule="auto"/>
              <w:ind w:left="0" w:leftChars="0" w:firstLine="0" w:firstLineChars="0"/>
              <w:jc w:val="center"/>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套</w:t>
            </w:r>
          </w:p>
        </w:tc>
        <w:tc>
          <w:tcPr>
            <w:tcW w:w="750" w:type="dxa"/>
            <w:shd w:val="clear" w:color="auto" w:fill="auto"/>
            <w:vAlign w:val="center"/>
          </w:tcPr>
          <w:p>
            <w:pPr>
              <w:numPr>
                <w:ilvl w:val="0"/>
                <w:numId w:val="0"/>
              </w:numPr>
              <w:shd w:val="clear"/>
              <w:spacing w:line="240" w:lineRule="auto"/>
              <w:ind w:left="0" w:leftChars="0" w:firstLine="0" w:firstLineChars="0"/>
              <w:jc w:val="center"/>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900" w:type="dxa"/>
            <w:shd w:val="clear" w:color="auto" w:fill="auto"/>
            <w:vAlign w:val="center"/>
          </w:tcPr>
          <w:p>
            <w:pPr>
              <w:widowControl/>
              <w:shd w:val="clea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接供货通知后1</w:t>
            </w: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日内</w:t>
            </w:r>
          </w:p>
        </w:tc>
        <w:tc>
          <w:tcPr>
            <w:tcW w:w="954" w:type="dxa"/>
            <w:vAlign w:val="center"/>
          </w:tcPr>
          <w:p>
            <w:pPr>
              <w:widowControl/>
              <w:shd w:val="clear"/>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24</w:t>
            </w:r>
            <w:r>
              <w:rPr>
                <w:rFonts w:hint="eastAsia" w:ascii="宋体" w:hAnsi="宋体" w:eastAsia="宋体" w:cs="宋体"/>
                <w:color w:val="auto"/>
                <w:kern w:val="0"/>
                <w:sz w:val="24"/>
                <w:szCs w:val="24"/>
                <w:highlight w:val="none"/>
              </w:rPr>
              <w:t>个月</w:t>
            </w:r>
          </w:p>
        </w:tc>
        <w:tc>
          <w:tcPr>
            <w:tcW w:w="1050" w:type="dxa"/>
            <w:shd w:val="clear" w:color="auto" w:fill="auto"/>
            <w:vAlign w:val="center"/>
          </w:tcPr>
          <w:p>
            <w:pPr>
              <w:widowControl/>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买方指定地点</w:t>
            </w:r>
          </w:p>
        </w:tc>
        <w:tc>
          <w:tcPr>
            <w:tcW w:w="2049" w:type="dxa"/>
            <w:vMerge w:val="continue"/>
            <w:shd w:val="clear" w:color="auto" w:fill="auto"/>
            <w:vAlign w:val="center"/>
          </w:tcPr>
          <w:p>
            <w:pPr>
              <w:widowControl/>
              <w:shd w:val="clea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0" w:type="auto"/>
            <w:vMerge w:val="continue"/>
            <w:vAlign w:val="center"/>
          </w:tcPr>
          <w:p>
            <w:pPr>
              <w:widowControl/>
              <w:shd w:val="clear"/>
              <w:jc w:val="center"/>
              <w:rPr>
                <w:rFonts w:hint="eastAsia" w:ascii="宋体" w:hAnsi="宋体" w:eastAsia="宋体" w:cs="宋体"/>
                <w:i w:val="0"/>
                <w:iCs w:val="0"/>
                <w:color w:val="auto"/>
                <w:kern w:val="0"/>
                <w:sz w:val="24"/>
                <w:szCs w:val="24"/>
                <w:highlight w:val="none"/>
                <w:u w:val="none"/>
                <w:lang w:val="en-US" w:eastAsia="zh-CN" w:bidi="ar"/>
              </w:rPr>
            </w:pPr>
          </w:p>
        </w:tc>
        <w:tc>
          <w:tcPr>
            <w:tcW w:w="0" w:type="auto"/>
            <w:shd w:val="clear" w:color="auto" w:fill="auto"/>
            <w:vAlign w:val="center"/>
          </w:tcPr>
          <w:p>
            <w:pPr>
              <w:widowControl/>
              <w:shd w:val="clear"/>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通讯组网设备</w:t>
            </w:r>
          </w:p>
        </w:tc>
        <w:tc>
          <w:tcPr>
            <w:tcW w:w="6010" w:type="dxa"/>
            <w:shd w:val="clear" w:color="auto" w:fill="auto"/>
            <w:vAlign w:val="center"/>
          </w:tcPr>
          <w:p>
            <w:pPr>
              <w:pStyle w:val="15"/>
              <w:keepNext w:val="0"/>
              <w:keepLines w:val="0"/>
              <w:pageBreakBefore w:val="0"/>
              <w:widowControl/>
              <w:numPr>
                <w:ilvl w:val="0"/>
                <w:numId w:val="0"/>
              </w:numPr>
              <w:shd w:val="clear"/>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站内监控后台和集控主站经通信组网设备可实时、可靠与</w:t>
            </w:r>
            <w:bookmarkStart w:id="0" w:name="OLE_LINK5"/>
            <w:r>
              <w:rPr>
                <w:rFonts w:hint="eastAsia" w:ascii="宋体" w:hAnsi="宋体" w:eastAsia="宋体" w:cs="宋体"/>
                <w:color w:val="auto"/>
                <w:kern w:val="0"/>
                <w:sz w:val="24"/>
                <w:szCs w:val="24"/>
                <w:highlight w:val="none"/>
                <w:lang w:val="en-US" w:eastAsia="zh-CN" w:bidi="ar-SA"/>
              </w:rPr>
              <w:t>移动式电力智能联动操作平台</w:t>
            </w:r>
            <w:bookmarkEnd w:id="0"/>
            <w:r>
              <w:rPr>
                <w:rFonts w:hint="eastAsia" w:ascii="宋体" w:hAnsi="宋体" w:eastAsia="宋体" w:cs="宋体"/>
                <w:color w:val="auto"/>
                <w:kern w:val="0"/>
                <w:sz w:val="24"/>
                <w:szCs w:val="24"/>
                <w:highlight w:val="none"/>
                <w:lang w:val="en-US" w:eastAsia="zh-CN" w:bidi="ar-SA"/>
              </w:rPr>
              <w:t>进行数据交互。</w:t>
            </w:r>
          </w:p>
          <w:p>
            <w:pPr>
              <w:pStyle w:val="15"/>
              <w:keepNext w:val="0"/>
              <w:keepLines w:val="0"/>
              <w:pageBreakBefore w:val="0"/>
              <w:widowControl/>
              <w:numPr>
                <w:ilvl w:val="0"/>
                <w:numId w:val="0"/>
              </w:numPr>
              <w:shd w:val="clear"/>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支持移动式电力智能联动操作平台以超五类屏蔽RJ45网线方式接入安全Ⅰ、Ⅱ区和Ⅳ区。</w:t>
            </w:r>
          </w:p>
        </w:tc>
        <w:tc>
          <w:tcPr>
            <w:tcW w:w="654" w:type="dxa"/>
            <w:shd w:val="clear" w:color="auto" w:fill="auto"/>
            <w:vAlign w:val="center"/>
          </w:tcPr>
          <w:p>
            <w:pPr>
              <w:numPr>
                <w:ilvl w:val="0"/>
                <w:numId w:val="0"/>
              </w:numPr>
              <w:shd w:val="clear"/>
              <w:spacing w:line="240" w:lineRule="auto"/>
              <w:ind w:left="0" w:leftChars="0" w:firstLine="0" w:firstLineChars="0"/>
              <w:jc w:val="center"/>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套</w:t>
            </w:r>
          </w:p>
        </w:tc>
        <w:tc>
          <w:tcPr>
            <w:tcW w:w="750" w:type="dxa"/>
            <w:shd w:val="clear" w:color="auto" w:fill="auto"/>
            <w:vAlign w:val="center"/>
          </w:tcPr>
          <w:p>
            <w:pPr>
              <w:numPr>
                <w:ilvl w:val="0"/>
                <w:numId w:val="0"/>
              </w:numPr>
              <w:shd w:val="clear"/>
              <w:spacing w:line="240" w:lineRule="auto"/>
              <w:ind w:left="0" w:leftChars="0" w:firstLine="0" w:firstLineChars="0"/>
              <w:jc w:val="center"/>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900" w:type="dxa"/>
            <w:shd w:val="clear" w:color="auto" w:fill="auto"/>
            <w:vAlign w:val="center"/>
          </w:tcPr>
          <w:p>
            <w:pPr>
              <w:widowControl/>
              <w:shd w:val="clea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接供货通知后1</w:t>
            </w: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日内</w:t>
            </w:r>
          </w:p>
        </w:tc>
        <w:tc>
          <w:tcPr>
            <w:tcW w:w="954" w:type="dxa"/>
            <w:vAlign w:val="center"/>
          </w:tcPr>
          <w:p>
            <w:pPr>
              <w:widowControl/>
              <w:shd w:val="clear"/>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24</w:t>
            </w:r>
            <w:r>
              <w:rPr>
                <w:rFonts w:hint="eastAsia" w:ascii="宋体" w:hAnsi="宋体" w:eastAsia="宋体" w:cs="宋体"/>
                <w:color w:val="auto"/>
                <w:kern w:val="0"/>
                <w:sz w:val="24"/>
                <w:szCs w:val="24"/>
                <w:highlight w:val="none"/>
              </w:rPr>
              <w:t>个月</w:t>
            </w:r>
          </w:p>
        </w:tc>
        <w:tc>
          <w:tcPr>
            <w:tcW w:w="1050" w:type="dxa"/>
            <w:shd w:val="clear" w:color="auto" w:fill="auto"/>
            <w:vAlign w:val="center"/>
          </w:tcPr>
          <w:p>
            <w:pPr>
              <w:widowControl/>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买方指定地点</w:t>
            </w:r>
          </w:p>
        </w:tc>
        <w:tc>
          <w:tcPr>
            <w:tcW w:w="2049" w:type="dxa"/>
            <w:vMerge w:val="continue"/>
            <w:shd w:val="clear" w:color="auto" w:fill="auto"/>
            <w:vAlign w:val="center"/>
          </w:tcPr>
          <w:p>
            <w:pPr>
              <w:widowControl/>
              <w:shd w:val="clear"/>
              <w:jc w:val="center"/>
              <w:rPr>
                <w:rFonts w:hint="eastAsia" w:ascii="宋体" w:hAnsi="宋体" w:eastAsia="宋体" w:cs="宋体"/>
                <w:color w:val="auto"/>
                <w:sz w:val="24"/>
                <w:szCs w:val="24"/>
                <w:highlight w:val="none"/>
              </w:rPr>
            </w:pPr>
          </w:p>
        </w:tc>
      </w:tr>
    </w:tbl>
    <w:p>
      <w:pPr>
        <w:pStyle w:val="15"/>
        <w:numPr>
          <w:ilvl w:val="0"/>
          <w:numId w:val="0"/>
        </w:numPr>
        <w:shd w:val="clear"/>
        <w:spacing w:line="240" w:lineRule="auto"/>
        <w:ind w:leftChars="-170"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具体供货不局限于上述产品。应包括上述产品相关配件，类似升级产品。</w:t>
      </w:r>
    </w:p>
    <w:p>
      <w:pPr>
        <w:shd w:val="clea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pPr>
        <w:shd w:val="clea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取得《国家电网有限公司集中规模招标采购供应商资质能力核实证明》或《国网智能科技股份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2.投标文件中提供的证明材料复印件应复印清晰、可辨认且不得遮盖、涂抹，否则视为无效。</w:t>
      </w:r>
    </w:p>
    <w:p>
      <w:pPr>
        <w:shd w:val="clea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pPr>
                            <w:pStyle w:val="6"/>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pPr>
                      <w:pStyle w:val="6"/>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4707138"/>
    <w:rsid w:val="04860D8F"/>
    <w:rsid w:val="07563215"/>
    <w:rsid w:val="0A8B5858"/>
    <w:rsid w:val="0C253443"/>
    <w:rsid w:val="0C9566ED"/>
    <w:rsid w:val="10C017AC"/>
    <w:rsid w:val="11EF4173"/>
    <w:rsid w:val="16267F4A"/>
    <w:rsid w:val="16D00F9D"/>
    <w:rsid w:val="17252504"/>
    <w:rsid w:val="17832749"/>
    <w:rsid w:val="188E6C44"/>
    <w:rsid w:val="18E776A7"/>
    <w:rsid w:val="22BC120E"/>
    <w:rsid w:val="22F71DBE"/>
    <w:rsid w:val="26BD5819"/>
    <w:rsid w:val="28455ABC"/>
    <w:rsid w:val="2EAB7AA2"/>
    <w:rsid w:val="2EBF6414"/>
    <w:rsid w:val="36F202F9"/>
    <w:rsid w:val="3A2F2590"/>
    <w:rsid w:val="42CE694E"/>
    <w:rsid w:val="47BA61B9"/>
    <w:rsid w:val="4AA15384"/>
    <w:rsid w:val="4ABD7A75"/>
    <w:rsid w:val="4D2E620D"/>
    <w:rsid w:val="4F403134"/>
    <w:rsid w:val="50E64EAF"/>
    <w:rsid w:val="50EC207F"/>
    <w:rsid w:val="511E0452"/>
    <w:rsid w:val="51340035"/>
    <w:rsid w:val="516A3318"/>
    <w:rsid w:val="54B330C5"/>
    <w:rsid w:val="637846F9"/>
    <w:rsid w:val="668F4233"/>
    <w:rsid w:val="699B2708"/>
    <w:rsid w:val="6B0F6C92"/>
    <w:rsid w:val="6B8F54C3"/>
    <w:rsid w:val="72A11576"/>
    <w:rsid w:val="762519CD"/>
    <w:rsid w:val="779E0348"/>
    <w:rsid w:val="77C16217"/>
    <w:rsid w:val="784A768E"/>
    <w:rsid w:val="7C30728F"/>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0"/>
    <w:pPr>
      <w:spacing w:after="120"/>
    </w:pPr>
    <w:rPr>
      <w:szCs w:val="24"/>
    </w:rPr>
  </w:style>
  <w:style w:type="paragraph" w:styleId="5">
    <w:name w:val="Body Text Indent"/>
    <w:basedOn w:val="1"/>
    <w:autoRedefine/>
    <w:qFormat/>
    <w:uiPriority w:val="0"/>
    <w:pPr>
      <w:spacing w:after="120"/>
      <w:ind w:left="420"/>
    </w:pPr>
    <w:rPr>
      <w:sz w:val="22"/>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autoRedefine/>
    <w:qFormat/>
    <w:uiPriority w:val="0"/>
    <w:pPr>
      <w:ind w:firstLine="420"/>
    </w:pPr>
  </w:style>
  <w:style w:type="character" w:styleId="11">
    <w:name w:val="Hyperlink"/>
    <w:autoRedefine/>
    <w:qFormat/>
    <w:uiPriority w:val="99"/>
    <w:rPr>
      <w:color w:val="0000FF"/>
      <w:u w:val="single"/>
    </w:rPr>
  </w:style>
  <w:style w:type="paragraph" w:customStyle="1" w:styleId="12">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3">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4">
    <w:name w:val="No Spacing"/>
    <w:autoRedefine/>
    <w:qFormat/>
    <w:uiPriority w:val="1"/>
    <w:rPr>
      <w:rFonts w:ascii="宋体" w:hAnsi="宋体" w:eastAsia="宋体" w:cs="宋体"/>
      <w:kern w:val="0"/>
      <w:sz w:val="24"/>
      <w:szCs w:val="24"/>
      <w:lang w:val="en-US" w:eastAsia="zh-CN" w:bidi="ar-SA"/>
    </w:rPr>
  </w:style>
  <w:style w:type="paragraph" w:styleId="1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1495</Words>
  <Characters>1620</Characters>
  <Lines>0</Lines>
  <Paragraphs>0</Paragraphs>
  <TotalTime>0</TotalTime>
  <ScaleCrop>false</ScaleCrop>
  <LinksUpToDate>false</LinksUpToDate>
  <CharactersWithSpaces>1627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北辰</cp:lastModifiedBy>
  <dcterms:modified xsi:type="dcterms:W3CDTF">2025-06-16T10:12:35Z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8AC34C5A69864CF0A8CCF78214053331_13</vt:lpwstr>
  </property>
</Properties>
</file>