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left"/>
        <w:rPr>
          <w:rFonts w:hint="eastAsia" w:ascii="宋体" w:hAnsi="宋体" w:eastAsia="宋体" w:cs="宋体"/>
          <w:b/>
          <w:bCs/>
          <w:color w:val="auto"/>
          <w:kern w:val="0"/>
          <w:sz w:val="24"/>
          <w:szCs w:val="24"/>
          <w:highlight w:val="none"/>
        </w:rPr>
      </w:pPr>
      <w:bookmarkStart w:id="0" w:name="_GoBack"/>
      <w:r>
        <w:rPr>
          <w:rFonts w:hint="eastAsia" w:ascii="宋体" w:hAnsi="宋体" w:eastAsia="宋体" w:cs="宋体"/>
          <w:b/>
          <w:bCs/>
          <w:color w:val="auto"/>
          <w:kern w:val="0"/>
          <w:sz w:val="24"/>
          <w:szCs w:val="24"/>
          <w:highlight w:val="none"/>
        </w:rPr>
        <w:t>附件1   招标需求一览表</w:t>
      </w:r>
    </w:p>
    <w:bookmarkEnd w:id="0"/>
    <w:tbl>
      <w:tblPr>
        <w:tblStyle w:val="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28"/>
        <w:gridCol w:w="1616"/>
        <w:gridCol w:w="3975"/>
        <w:gridCol w:w="762"/>
        <w:gridCol w:w="638"/>
        <w:gridCol w:w="1125"/>
        <w:gridCol w:w="1151"/>
        <w:gridCol w:w="1275"/>
        <w:gridCol w:w="24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0" w:type="auto"/>
            <w:vAlign w:val="center"/>
          </w:tcPr>
          <w:p>
            <w:pPr>
              <w:widowControl/>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项目名称</w:t>
            </w:r>
          </w:p>
        </w:tc>
        <w:tc>
          <w:tcPr>
            <w:tcW w:w="1616" w:type="dxa"/>
            <w:shd w:val="clear" w:color="auto" w:fill="auto"/>
            <w:vAlign w:val="center"/>
          </w:tcPr>
          <w:p>
            <w:pPr>
              <w:widowControl/>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物资名称</w:t>
            </w:r>
          </w:p>
        </w:tc>
        <w:tc>
          <w:tcPr>
            <w:tcW w:w="3975" w:type="dxa"/>
            <w:shd w:val="clear" w:color="auto" w:fill="auto"/>
            <w:vAlign w:val="center"/>
          </w:tcPr>
          <w:p>
            <w:pPr>
              <w:widowControl/>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主要技术要求</w:t>
            </w:r>
          </w:p>
        </w:tc>
        <w:tc>
          <w:tcPr>
            <w:tcW w:w="762" w:type="dxa"/>
            <w:shd w:val="clear" w:color="auto" w:fill="auto"/>
            <w:vAlign w:val="center"/>
          </w:tcPr>
          <w:p>
            <w:pPr>
              <w:widowControl/>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单位</w:t>
            </w:r>
          </w:p>
        </w:tc>
        <w:tc>
          <w:tcPr>
            <w:tcW w:w="638" w:type="dxa"/>
            <w:shd w:val="clear" w:color="auto" w:fill="auto"/>
            <w:vAlign w:val="center"/>
          </w:tcPr>
          <w:p>
            <w:pPr>
              <w:widowControl/>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数量</w:t>
            </w:r>
          </w:p>
        </w:tc>
        <w:tc>
          <w:tcPr>
            <w:tcW w:w="1125" w:type="dxa"/>
            <w:shd w:val="clear" w:color="auto" w:fill="auto"/>
            <w:vAlign w:val="center"/>
          </w:tcPr>
          <w:p>
            <w:pPr>
              <w:widowControl/>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交货日期</w:t>
            </w:r>
          </w:p>
        </w:tc>
        <w:tc>
          <w:tcPr>
            <w:tcW w:w="1151" w:type="dxa"/>
            <w:vAlign w:val="center"/>
          </w:tcPr>
          <w:p>
            <w:pPr>
              <w:widowControl/>
              <w:jc w:val="center"/>
              <w:rPr>
                <w:rFonts w:hint="eastAsia" w:ascii="宋体" w:hAnsi="宋体" w:eastAsia="宋体" w:cs="宋体"/>
                <w:b/>
                <w:bCs/>
                <w:color w:val="auto"/>
                <w:kern w:val="0"/>
                <w:sz w:val="24"/>
                <w:szCs w:val="24"/>
                <w:highlight w:val="none"/>
                <w:lang w:eastAsia="zh-CN"/>
              </w:rPr>
            </w:pPr>
            <w:r>
              <w:rPr>
                <w:rFonts w:hint="eastAsia" w:ascii="宋体" w:hAnsi="宋体" w:eastAsia="宋体" w:cs="宋体"/>
                <w:b/>
                <w:bCs/>
                <w:color w:val="auto"/>
                <w:kern w:val="0"/>
                <w:sz w:val="24"/>
                <w:szCs w:val="24"/>
                <w:highlight w:val="none"/>
              </w:rPr>
              <w:t>质保期</w:t>
            </w:r>
            <w:r>
              <w:rPr>
                <w:rFonts w:hint="eastAsia" w:ascii="宋体" w:hAnsi="宋体" w:eastAsia="宋体" w:cs="宋体"/>
                <w:b/>
                <w:bCs/>
                <w:color w:val="auto"/>
                <w:kern w:val="0"/>
                <w:sz w:val="24"/>
                <w:szCs w:val="24"/>
                <w:highlight w:val="none"/>
                <w:lang w:eastAsia="zh-CN"/>
              </w:rPr>
              <w:t>（</w:t>
            </w:r>
            <w:r>
              <w:rPr>
                <w:rFonts w:hint="eastAsia" w:ascii="宋体" w:hAnsi="宋体" w:eastAsia="宋体" w:cs="宋体"/>
                <w:b/>
                <w:bCs/>
                <w:color w:val="auto"/>
                <w:kern w:val="0"/>
                <w:sz w:val="24"/>
                <w:szCs w:val="24"/>
                <w:highlight w:val="none"/>
                <w:lang w:val="en-US" w:eastAsia="zh-CN"/>
              </w:rPr>
              <w:t>不低于</w:t>
            </w:r>
            <w:r>
              <w:rPr>
                <w:rFonts w:hint="eastAsia" w:ascii="宋体" w:hAnsi="宋体" w:eastAsia="宋体" w:cs="宋体"/>
                <w:b/>
                <w:bCs/>
                <w:color w:val="auto"/>
                <w:kern w:val="0"/>
                <w:sz w:val="24"/>
                <w:szCs w:val="24"/>
                <w:highlight w:val="none"/>
                <w:lang w:eastAsia="zh-CN"/>
              </w:rPr>
              <w:t>）</w:t>
            </w:r>
          </w:p>
        </w:tc>
        <w:tc>
          <w:tcPr>
            <w:tcW w:w="1275" w:type="dxa"/>
            <w:shd w:val="clear" w:color="auto" w:fill="auto"/>
            <w:vAlign w:val="center"/>
          </w:tcPr>
          <w:p>
            <w:pPr>
              <w:widowControl/>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交货地点</w:t>
            </w:r>
          </w:p>
        </w:tc>
        <w:tc>
          <w:tcPr>
            <w:tcW w:w="2404" w:type="dxa"/>
            <w:shd w:val="clear" w:color="auto" w:fill="auto"/>
            <w:vAlign w:val="center"/>
          </w:tcPr>
          <w:p>
            <w:pPr>
              <w:widowControl/>
              <w:shd w:val="clear"/>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sz w:val="24"/>
                <w:szCs w:val="24"/>
                <w:highlight w:val="none"/>
              </w:rPr>
              <w:t>专用</w:t>
            </w:r>
            <w:r>
              <w:rPr>
                <w:rFonts w:hint="eastAsia" w:ascii="宋体" w:hAnsi="宋体" w:eastAsia="宋体" w:cs="宋体"/>
                <w:b/>
                <w:bCs/>
                <w:color w:val="auto"/>
                <w:sz w:val="24"/>
                <w:szCs w:val="24"/>
                <w:highlight w:val="none"/>
                <w:lang w:val="en-US" w:eastAsia="zh-CN"/>
              </w:rPr>
              <w:t>业绩</w:t>
            </w:r>
            <w:r>
              <w:rPr>
                <w:rFonts w:hint="eastAsia" w:ascii="宋体" w:hAnsi="宋体" w:eastAsia="宋体" w:cs="宋体"/>
                <w:b/>
                <w:bCs/>
                <w:color w:val="auto"/>
                <w:sz w:val="24"/>
                <w:szCs w:val="24"/>
                <w:highlight w:val="none"/>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0" w:type="auto"/>
            <w:vMerge w:val="restart"/>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液压驱动水泵</w:t>
            </w:r>
            <w:r>
              <w:rPr>
                <w:rFonts w:hint="eastAsia" w:ascii="宋体" w:hAnsi="宋体" w:eastAsia="宋体" w:cs="宋体"/>
                <w:color w:val="auto"/>
                <w:sz w:val="24"/>
                <w:szCs w:val="24"/>
                <w:highlight w:val="none"/>
                <w:lang w:val="en-US" w:eastAsia="zh-CN"/>
              </w:rPr>
              <w:t>、吊臂等采购项目</w:t>
            </w:r>
          </w:p>
        </w:tc>
        <w:tc>
          <w:tcPr>
            <w:tcW w:w="1616" w:type="dxa"/>
            <w:shd w:val="clear" w:color="auto" w:fill="auto"/>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液压驱动水泵</w:t>
            </w:r>
          </w:p>
        </w:tc>
        <w:tc>
          <w:tcPr>
            <w:tcW w:w="3975" w:type="dxa"/>
            <w:shd w:val="clear" w:color="auto" w:fill="auto"/>
            <w:vAlign w:val="center"/>
          </w:tcPr>
          <w:p>
            <w:pPr>
              <w:widowControl/>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渣浆泵（两台）</w:t>
            </w:r>
          </w:p>
          <w:p>
            <w:pPr>
              <w:widowControl/>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流量： ≥230m³/h</w:t>
            </w:r>
          </w:p>
          <w:p>
            <w:pPr>
              <w:widowControl/>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扬程： ≥35m</w:t>
            </w:r>
          </w:p>
          <w:p>
            <w:pPr>
              <w:widowControl/>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功率： ≥35kW</w:t>
            </w:r>
          </w:p>
          <w:p>
            <w:pPr>
              <w:widowControl/>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重量： ≤29kg</w:t>
            </w:r>
          </w:p>
          <w:p>
            <w:pPr>
              <w:widowControl/>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轴流泵（两台）</w:t>
            </w:r>
          </w:p>
          <w:p>
            <w:pPr>
              <w:widowControl/>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流量： ≥1000m³/h</w:t>
            </w:r>
          </w:p>
          <w:p>
            <w:pPr>
              <w:widowControl/>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扬程： ≥10m</w:t>
            </w:r>
          </w:p>
          <w:p>
            <w:pPr>
              <w:widowControl/>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功率： ≥60kW</w:t>
            </w:r>
          </w:p>
          <w:p>
            <w:pPr>
              <w:widowControl/>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重量：≤</w:t>
            </w:r>
            <w:r>
              <w:rPr>
                <w:rFonts w:hint="eastAsia" w:ascii="宋体" w:hAnsi="宋体" w:eastAsia="宋体" w:cs="宋体"/>
                <w:color w:val="auto"/>
                <w:sz w:val="24"/>
                <w:szCs w:val="24"/>
                <w:highlight w:val="none"/>
                <w:lang w:eastAsia="zh-CN"/>
              </w:rPr>
              <w:t>95</w:t>
            </w:r>
            <w:r>
              <w:rPr>
                <w:rFonts w:hint="eastAsia" w:ascii="宋体" w:hAnsi="宋体" w:eastAsia="宋体" w:cs="宋体"/>
                <w:color w:val="auto"/>
                <w:sz w:val="24"/>
                <w:szCs w:val="24"/>
                <w:highlight w:val="none"/>
              </w:rPr>
              <w:t>kg</w:t>
            </w:r>
          </w:p>
          <w:p>
            <w:pPr>
              <w:widowControl/>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流量：≥</w:t>
            </w:r>
            <w:r>
              <w:rPr>
                <w:rFonts w:hint="eastAsia" w:ascii="宋体" w:hAnsi="宋体" w:eastAsia="宋体" w:cs="宋体"/>
                <w:color w:val="auto"/>
                <w:sz w:val="24"/>
                <w:szCs w:val="24"/>
                <w:highlight w:val="none"/>
              </w:rPr>
              <w:t>2000m³/h</w:t>
            </w:r>
          </w:p>
        </w:tc>
        <w:tc>
          <w:tcPr>
            <w:tcW w:w="762" w:type="dxa"/>
            <w:shd w:val="clear" w:color="auto" w:fill="auto"/>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套</w:t>
            </w:r>
          </w:p>
        </w:tc>
        <w:tc>
          <w:tcPr>
            <w:tcW w:w="638" w:type="dxa"/>
            <w:shd w:val="clear" w:color="auto" w:fill="auto"/>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p>
        </w:tc>
        <w:tc>
          <w:tcPr>
            <w:tcW w:w="1125" w:type="dxa"/>
            <w:shd w:val="clear" w:color="auto" w:fill="auto"/>
            <w:vAlign w:val="center"/>
          </w:tcPr>
          <w:p>
            <w:pPr>
              <w:widowControl/>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接供货通知后1</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日内</w:t>
            </w:r>
          </w:p>
        </w:tc>
        <w:tc>
          <w:tcPr>
            <w:tcW w:w="1151" w:type="dxa"/>
            <w:vAlign w:val="center"/>
          </w:tcPr>
          <w:p>
            <w:pPr>
              <w:widowControl/>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36</w:t>
            </w:r>
            <w:r>
              <w:rPr>
                <w:rFonts w:hint="eastAsia" w:ascii="宋体" w:hAnsi="宋体" w:eastAsia="宋体" w:cs="宋体"/>
                <w:color w:val="auto"/>
                <w:sz w:val="24"/>
                <w:szCs w:val="24"/>
                <w:highlight w:val="none"/>
              </w:rPr>
              <w:t>个月</w:t>
            </w:r>
          </w:p>
        </w:tc>
        <w:tc>
          <w:tcPr>
            <w:tcW w:w="1275" w:type="dxa"/>
            <w:shd w:val="clear" w:color="auto" w:fill="auto"/>
            <w:vAlign w:val="center"/>
          </w:tcPr>
          <w:p>
            <w:pPr>
              <w:widowControl/>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买方指定地点</w:t>
            </w:r>
          </w:p>
        </w:tc>
        <w:tc>
          <w:tcPr>
            <w:tcW w:w="2404" w:type="dxa"/>
            <w:vMerge w:val="restart"/>
            <w:shd w:val="clear" w:color="auto" w:fill="auto"/>
            <w:vAlign w:val="center"/>
          </w:tcPr>
          <w:p>
            <w:pPr>
              <w:widowControl/>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业绩要求</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202</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年1月1日至招标采购公告发布日止，</w:t>
            </w:r>
            <w:r>
              <w:rPr>
                <w:rFonts w:hint="eastAsia" w:ascii="宋体" w:hAnsi="宋体" w:eastAsia="宋体" w:cs="宋体"/>
                <w:color w:val="auto"/>
                <w:sz w:val="24"/>
                <w:szCs w:val="24"/>
                <w:highlight w:val="none"/>
                <w:lang w:val="en-US" w:eastAsia="zh-CN"/>
              </w:rPr>
              <w:t>投标方</w:t>
            </w:r>
            <w:r>
              <w:rPr>
                <w:rFonts w:hint="eastAsia" w:ascii="宋体" w:hAnsi="宋体" w:eastAsia="宋体" w:cs="宋体"/>
                <w:color w:val="auto"/>
                <w:sz w:val="24"/>
                <w:szCs w:val="24"/>
                <w:highlight w:val="none"/>
              </w:rPr>
              <w:t>完成过</w:t>
            </w:r>
            <w:r>
              <w:rPr>
                <w:rFonts w:hint="eastAsia" w:ascii="宋体" w:hAnsi="宋体" w:eastAsia="宋体" w:cs="宋体"/>
                <w:color w:val="auto"/>
                <w:sz w:val="24"/>
                <w:szCs w:val="24"/>
                <w:highlight w:val="none"/>
                <w:lang w:val="en-US" w:eastAsia="zh-CN"/>
              </w:rPr>
              <w:t>机器人</w:t>
            </w:r>
            <w:r>
              <w:rPr>
                <w:rFonts w:hint="eastAsia" w:ascii="宋体" w:hAnsi="宋体" w:eastAsia="宋体" w:cs="宋体"/>
                <w:color w:val="auto"/>
                <w:sz w:val="24"/>
                <w:szCs w:val="24"/>
                <w:highlight w:val="none"/>
              </w:rPr>
              <w:t>或</w:t>
            </w:r>
            <w:r>
              <w:rPr>
                <w:rFonts w:hint="eastAsia" w:ascii="宋体" w:hAnsi="宋体" w:eastAsia="宋体" w:cs="宋体"/>
                <w:color w:val="auto"/>
                <w:sz w:val="24"/>
                <w:szCs w:val="24"/>
                <w:highlight w:val="none"/>
                <w:lang w:val="en-US" w:eastAsia="zh-CN"/>
              </w:rPr>
              <w:t>组部件（包含水泵或吊臂或水带）</w:t>
            </w:r>
            <w:r>
              <w:rPr>
                <w:rFonts w:hint="eastAsia" w:ascii="宋体" w:hAnsi="宋体" w:eastAsia="宋体" w:cs="宋体"/>
                <w:color w:val="auto"/>
                <w:sz w:val="24"/>
                <w:szCs w:val="24"/>
                <w:highlight w:val="none"/>
              </w:rPr>
              <w:t>销售</w:t>
            </w:r>
            <w:r>
              <w:rPr>
                <w:rFonts w:hint="eastAsia" w:ascii="宋体" w:hAnsi="宋体" w:eastAsia="宋体" w:cs="宋体"/>
                <w:color w:val="auto"/>
                <w:sz w:val="24"/>
                <w:szCs w:val="24"/>
                <w:highlight w:val="none"/>
                <w:lang w:val="en-US" w:eastAsia="zh-CN"/>
              </w:rPr>
              <w:t>业绩</w:t>
            </w:r>
            <w:r>
              <w:rPr>
                <w:rFonts w:hint="eastAsia" w:ascii="宋体" w:hAnsi="宋体" w:eastAsia="宋体" w:cs="宋体"/>
                <w:color w:val="auto"/>
                <w:sz w:val="24"/>
                <w:szCs w:val="24"/>
                <w:highlight w:val="none"/>
              </w:rPr>
              <w:t>不少于2份，合同额累计不少于</w:t>
            </w:r>
            <w:r>
              <w:rPr>
                <w:rFonts w:hint="eastAsia" w:ascii="宋体" w:hAnsi="宋体" w:eastAsia="宋体" w:cs="宋体"/>
                <w:color w:val="auto"/>
                <w:sz w:val="24"/>
                <w:szCs w:val="24"/>
                <w:highlight w:val="none"/>
                <w:lang w:val="en-US" w:eastAsia="zh-CN"/>
              </w:rPr>
              <w:t>150</w:t>
            </w:r>
            <w:r>
              <w:rPr>
                <w:rFonts w:hint="eastAsia" w:ascii="宋体" w:hAnsi="宋体" w:eastAsia="宋体" w:cs="宋体"/>
                <w:color w:val="auto"/>
                <w:sz w:val="24"/>
                <w:szCs w:val="24"/>
                <w:highlight w:val="none"/>
              </w:rPr>
              <w:t>万。</w:t>
            </w:r>
            <w:r>
              <w:rPr>
                <w:rFonts w:hint="eastAsia" w:ascii="宋体" w:hAnsi="宋体" w:eastAsia="宋体" w:cs="宋体"/>
                <w:color w:val="auto"/>
                <w:sz w:val="24"/>
                <w:szCs w:val="24"/>
                <w:highlight w:val="none"/>
                <w:lang w:val="en-US" w:eastAsia="zh-CN"/>
              </w:rPr>
              <w:t>注:业绩必须提供对应的合同复印件、发票和相应查验截图。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0" w:type="auto"/>
            <w:vMerge w:val="continue"/>
            <w:vAlign w:val="center"/>
          </w:tcPr>
          <w:p>
            <w:pPr>
              <w:widowControl/>
              <w:jc w:val="center"/>
              <w:rPr>
                <w:rFonts w:hint="eastAsia" w:ascii="宋体" w:hAnsi="宋体" w:eastAsia="宋体" w:cs="宋体"/>
                <w:color w:val="auto"/>
                <w:sz w:val="24"/>
                <w:szCs w:val="24"/>
                <w:highlight w:val="none"/>
                <w:lang w:val="en-US" w:eastAsia="zh-CN"/>
              </w:rPr>
            </w:pPr>
          </w:p>
        </w:tc>
        <w:tc>
          <w:tcPr>
            <w:tcW w:w="1616" w:type="dxa"/>
            <w:shd w:val="clear" w:color="auto" w:fill="auto"/>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发动机</w:t>
            </w:r>
          </w:p>
        </w:tc>
        <w:tc>
          <w:tcPr>
            <w:tcW w:w="3975" w:type="dxa"/>
            <w:shd w:val="clear" w:color="auto" w:fill="auto"/>
            <w:vAlign w:val="center"/>
          </w:tcPr>
          <w:p>
            <w:pPr>
              <w:widowControl/>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类型：</w:t>
            </w:r>
            <w:r>
              <w:rPr>
                <w:rFonts w:hint="eastAsia" w:ascii="宋体" w:hAnsi="宋体" w:eastAsia="宋体" w:cs="宋体"/>
                <w:color w:val="auto"/>
                <w:sz w:val="24"/>
                <w:szCs w:val="24"/>
                <w:highlight w:val="none"/>
              </w:rPr>
              <w:t>水冷柴油机</w:t>
            </w:r>
          </w:p>
          <w:p>
            <w:pPr>
              <w:widowControl/>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功率：≥</w:t>
            </w:r>
            <w:r>
              <w:rPr>
                <w:rFonts w:hint="eastAsia" w:ascii="宋体" w:hAnsi="宋体" w:eastAsia="宋体" w:cs="宋体"/>
                <w:color w:val="auto"/>
                <w:sz w:val="24"/>
                <w:szCs w:val="24"/>
                <w:highlight w:val="none"/>
              </w:rPr>
              <w:t>264kw</w:t>
            </w:r>
          </w:p>
        </w:tc>
        <w:tc>
          <w:tcPr>
            <w:tcW w:w="762" w:type="dxa"/>
            <w:shd w:val="clear" w:color="auto" w:fill="auto"/>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套</w:t>
            </w:r>
          </w:p>
        </w:tc>
        <w:tc>
          <w:tcPr>
            <w:tcW w:w="638" w:type="dxa"/>
            <w:shd w:val="clear" w:color="auto" w:fill="auto"/>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p>
        </w:tc>
        <w:tc>
          <w:tcPr>
            <w:tcW w:w="1125" w:type="dxa"/>
            <w:shd w:val="clear" w:color="auto" w:fill="auto"/>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接供货通知后1</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日内</w:t>
            </w:r>
          </w:p>
        </w:tc>
        <w:tc>
          <w:tcPr>
            <w:tcW w:w="1151" w:type="dxa"/>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36</w:t>
            </w:r>
            <w:r>
              <w:rPr>
                <w:rFonts w:hint="eastAsia" w:ascii="宋体" w:hAnsi="宋体" w:eastAsia="宋体" w:cs="宋体"/>
                <w:color w:val="auto"/>
                <w:sz w:val="24"/>
                <w:szCs w:val="24"/>
                <w:highlight w:val="none"/>
              </w:rPr>
              <w:t>个月</w:t>
            </w:r>
          </w:p>
        </w:tc>
        <w:tc>
          <w:tcPr>
            <w:tcW w:w="1275" w:type="dxa"/>
            <w:shd w:val="clear" w:color="auto" w:fill="auto"/>
            <w:vAlign w:val="center"/>
          </w:tcPr>
          <w:p>
            <w:pPr>
              <w:widowControl/>
              <w:jc w:val="center"/>
              <w:rPr>
                <w:rFonts w:hint="eastAsia" w:ascii="宋体" w:hAnsi="宋体" w:eastAsia="宋体" w:cs="宋体"/>
                <w:b/>
                <w:bCs/>
                <w:color w:val="auto"/>
                <w:kern w:val="0"/>
                <w:sz w:val="24"/>
                <w:szCs w:val="24"/>
                <w:highlight w:val="none"/>
                <w:lang w:val="en-US" w:eastAsia="zh-CN" w:bidi="ar-SA"/>
              </w:rPr>
            </w:pPr>
            <w:r>
              <w:rPr>
                <w:rFonts w:hint="eastAsia" w:ascii="宋体" w:hAnsi="宋体" w:eastAsia="宋体" w:cs="宋体"/>
                <w:color w:val="auto"/>
                <w:sz w:val="24"/>
                <w:szCs w:val="24"/>
                <w:highlight w:val="none"/>
              </w:rPr>
              <w:t>买方指定地点</w:t>
            </w:r>
          </w:p>
        </w:tc>
        <w:tc>
          <w:tcPr>
            <w:tcW w:w="2404" w:type="dxa"/>
            <w:vMerge w:val="continue"/>
            <w:shd w:val="clear" w:color="auto" w:fill="auto"/>
            <w:vAlign w:val="center"/>
          </w:tcPr>
          <w:p>
            <w:pPr>
              <w:widowControl/>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0" w:type="auto"/>
            <w:vMerge w:val="continue"/>
            <w:vAlign w:val="center"/>
          </w:tcPr>
          <w:p>
            <w:pPr>
              <w:widowControl/>
              <w:jc w:val="center"/>
              <w:rPr>
                <w:rFonts w:hint="eastAsia" w:ascii="宋体" w:hAnsi="宋体" w:eastAsia="宋体" w:cs="宋体"/>
                <w:color w:val="auto"/>
                <w:sz w:val="24"/>
                <w:szCs w:val="24"/>
                <w:highlight w:val="none"/>
                <w:lang w:val="en-US" w:eastAsia="zh-CN"/>
              </w:rPr>
            </w:pPr>
          </w:p>
        </w:tc>
        <w:tc>
          <w:tcPr>
            <w:tcW w:w="1616" w:type="dxa"/>
            <w:shd w:val="clear" w:color="auto" w:fill="auto"/>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控制终端</w:t>
            </w:r>
          </w:p>
        </w:tc>
        <w:tc>
          <w:tcPr>
            <w:tcW w:w="3975" w:type="dxa"/>
            <w:shd w:val="clear" w:color="auto" w:fill="auto"/>
            <w:vAlign w:val="center"/>
          </w:tcPr>
          <w:p>
            <w:pPr>
              <w:widowControl/>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无线遥控</w:t>
            </w:r>
          </w:p>
        </w:tc>
        <w:tc>
          <w:tcPr>
            <w:tcW w:w="762" w:type="dxa"/>
            <w:shd w:val="clear" w:color="auto" w:fill="auto"/>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套</w:t>
            </w:r>
          </w:p>
        </w:tc>
        <w:tc>
          <w:tcPr>
            <w:tcW w:w="638" w:type="dxa"/>
            <w:shd w:val="clear" w:color="auto" w:fill="auto"/>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p>
        </w:tc>
        <w:tc>
          <w:tcPr>
            <w:tcW w:w="1125" w:type="dxa"/>
            <w:shd w:val="clear" w:color="auto" w:fill="auto"/>
            <w:vAlign w:val="center"/>
          </w:tcPr>
          <w:p>
            <w:pPr>
              <w:widowControl/>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接供货通知后1</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日内</w:t>
            </w:r>
          </w:p>
        </w:tc>
        <w:tc>
          <w:tcPr>
            <w:tcW w:w="1151" w:type="dxa"/>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36</w:t>
            </w:r>
            <w:r>
              <w:rPr>
                <w:rFonts w:hint="eastAsia" w:ascii="宋体" w:hAnsi="宋体" w:eastAsia="宋体" w:cs="宋体"/>
                <w:color w:val="auto"/>
                <w:sz w:val="24"/>
                <w:szCs w:val="24"/>
                <w:highlight w:val="none"/>
              </w:rPr>
              <w:t>个月</w:t>
            </w:r>
          </w:p>
        </w:tc>
        <w:tc>
          <w:tcPr>
            <w:tcW w:w="1275" w:type="dxa"/>
            <w:shd w:val="clear" w:color="auto" w:fill="auto"/>
            <w:vAlign w:val="center"/>
          </w:tcPr>
          <w:p>
            <w:pPr>
              <w:widowControl/>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买方指定地点</w:t>
            </w:r>
          </w:p>
        </w:tc>
        <w:tc>
          <w:tcPr>
            <w:tcW w:w="2404" w:type="dxa"/>
            <w:vMerge w:val="continue"/>
            <w:shd w:val="clear" w:color="auto" w:fill="auto"/>
            <w:vAlign w:val="center"/>
          </w:tcPr>
          <w:p>
            <w:pPr>
              <w:widowControl/>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0" w:type="auto"/>
            <w:vMerge w:val="continue"/>
            <w:vAlign w:val="center"/>
          </w:tcPr>
          <w:p>
            <w:pPr>
              <w:widowControl/>
              <w:jc w:val="center"/>
              <w:rPr>
                <w:rFonts w:hint="eastAsia" w:ascii="宋体" w:hAnsi="宋体" w:eastAsia="宋体" w:cs="宋体"/>
                <w:color w:val="auto"/>
                <w:sz w:val="24"/>
                <w:szCs w:val="24"/>
                <w:highlight w:val="none"/>
                <w:lang w:val="en-US" w:eastAsia="zh-CN"/>
              </w:rPr>
            </w:pPr>
          </w:p>
        </w:tc>
        <w:tc>
          <w:tcPr>
            <w:tcW w:w="1616" w:type="dxa"/>
            <w:shd w:val="clear" w:color="auto" w:fill="auto"/>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液压油管</w:t>
            </w:r>
          </w:p>
        </w:tc>
        <w:tc>
          <w:tcPr>
            <w:tcW w:w="3975" w:type="dxa"/>
            <w:shd w:val="clear" w:color="auto" w:fill="auto"/>
            <w:vAlign w:val="center"/>
          </w:tcPr>
          <w:p>
            <w:pPr>
              <w:widowControl/>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50米（可定制长度）</w:t>
            </w:r>
          </w:p>
        </w:tc>
        <w:tc>
          <w:tcPr>
            <w:tcW w:w="762" w:type="dxa"/>
            <w:shd w:val="clear" w:color="auto" w:fill="auto"/>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套</w:t>
            </w:r>
          </w:p>
        </w:tc>
        <w:tc>
          <w:tcPr>
            <w:tcW w:w="638" w:type="dxa"/>
            <w:shd w:val="clear" w:color="auto" w:fill="auto"/>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p>
        </w:tc>
        <w:tc>
          <w:tcPr>
            <w:tcW w:w="1125" w:type="dxa"/>
            <w:shd w:val="clear" w:color="auto" w:fill="auto"/>
            <w:vAlign w:val="center"/>
          </w:tcPr>
          <w:p>
            <w:pPr>
              <w:widowControl/>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接供货通知后1</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日内</w:t>
            </w:r>
          </w:p>
        </w:tc>
        <w:tc>
          <w:tcPr>
            <w:tcW w:w="1151" w:type="dxa"/>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36</w:t>
            </w:r>
            <w:r>
              <w:rPr>
                <w:rFonts w:hint="eastAsia" w:ascii="宋体" w:hAnsi="宋体" w:eastAsia="宋体" w:cs="宋体"/>
                <w:color w:val="auto"/>
                <w:sz w:val="24"/>
                <w:szCs w:val="24"/>
                <w:highlight w:val="none"/>
              </w:rPr>
              <w:t>个月</w:t>
            </w:r>
          </w:p>
        </w:tc>
        <w:tc>
          <w:tcPr>
            <w:tcW w:w="1275" w:type="dxa"/>
            <w:shd w:val="clear" w:color="auto" w:fill="auto"/>
            <w:vAlign w:val="center"/>
          </w:tcPr>
          <w:p>
            <w:pPr>
              <w:widowControl/>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买方指定地点</w:t>
            </w:r>
          </w:p>
        </w:tc>
        <w:tc>
          <w:tcPr>
            <w:tcW w:w="2404" w:type="dxa"/>
            <w:vMerge w:val="continue"/>
            <w:shd w:val="clear" w:color="auto" w:fill="auto"/>
            <w:vAlign w:val="center"/>
          </w:tcPr>
          <w:p>
            <w:pPr>
              <w:widowControl/>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0" w:type="auto"/>
            <w:vMerge w:val="continue"/>
            <w:vAlign w:val="center"/>
          </w:tcPr>
          <w:p>
            <w:pPr>
              <w:widowControl/>
              <w:jc w:val="center"/>
              <w:rPr>
                <w:rFonts w:hint="eastAsia" w:ascii="宋体" w:hAnsi="宋体" w:eastAsia="宋体" w:cs="宋体"/>
                <w:color w:val="auto"/>
                <w:sz w:val="24"/>
                <w:szCs w:val="24"/>
                <w:highlight w:val="none"/>
                <w:lang w:val="en-US" w:eastAsia="zh-CN"/>
              </w:rPr>
            </w:pPr>
          </w:p>
        </w:tc>
        <w:tc>
          <w:tcPr>
            <w:tcW w:w="1616" w:type="dxa"/>
            <w:shd w:val="clear" w:color="auto" w:fill="auto"/>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水带</w:t>
            </w:r>
          </w:p>
        </w:tc>
        <w:tc>
          <w:tcPr>
            <w:tcW w:w="3975" w:type="dxa"/>
            <w:shd w:val="clear" w:color="auto" w:fill="auto"/>
            <w:vAlign w:val="center"/>
          </w:tcPr>
          <w:p>
            <w:pPr>
              <w:widowControl/>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100米（可定制长度）</w:t>
            </w:r>
          </w:p>
        </w:tc>
        <w:tc>
          <w:tcPr>
            <w:tcW w:w="762" w:type="dxa"/>
            <w:shd w:val="clear" w:color="auto" w:fill="auto"/>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套</w:t>
            </w:r>
          </w:p>
        </w:tc>
        <w:tc>
          <w:tcPr>
            <w:tcW w:w="638" w:type="dxa"/>
            <w:shd w:val="clear" w:color="auto" w:fill="auto"/>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p>
        </w:tc>
        <w:tc>
          <w:tcPr>
            <w:tcW w:w="1125" w:type="dxa"/>
            <w:shd w:val="clear" w:color="auto" w:fill="auto"/>
            <w:vAlign w:val="center"/>
          </w:tcPr>
          <w:p>
            <w:pPr>
              <w:widowControl/>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接供货通知后1</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日内</w:t>
            </w:r>
          </w:p>
        </w:tc>
        <w:tc>
          <w:tcPr>
            <w:tcW w:w="1151" w:type="dxa"/>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36</w:t>
            </w:r>
            <w:r>
              <w:rPr>
                <w:rFonts w:hint="eastAsia" w:ascii="宋体" w:hAnsi="宋体" w:eastAsia="宋体" w:cs="宋体"/>
                <w:color w:val="auto"/>
                <w:sz w:val="24"/>
                <w:szCs w:val="24"/>
                <w:highlight w:val="none"/>
              </w:rPr>
              <w:t>个月</w:t>
            </w:r>
          </w:p>
        </w:tc>
        <w:tc>
          <w:tcPr>
            <w:tcW w:w="1275" w:type="dxa"/>
            <w:shd w:val="clear" w:color="auto" w:fill="auto"/>
            <w:vAlign w:val="center"/>
          </w:tcPr>
          <w:p>
            <w:pPr>
              <w:widowControl/>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买方指定地点</w:t>
            </w:r>
          </w:p>
        </w:tc>
        <w:tc>
          <w:tcPr>
            <w:tcW w:w="2404" w:type="dxa"/>
            <w:vMerge w:val="continue"/>
            <w:shd w:val="clear" w:color="auto" w:fill="auto"/>
            <w:vAlign w:val="center"/>
          </w:tcPr>
          <w:p>
            <w:pPr>
              <w:widowControl/>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0" w:type="auto"/>
            <w:vMerge w:val="continue"/>
            <w:vAlign w:val="center"/>
          </w:tcPr>
          <w:p>
            <w:pPr>
              <w:widowControl/>
              <w:jc w:val="center"/>
              <w:rPr>
                <w:rFonts w:hint="eastAsia" w:ascii="宋体" w:hAnsi="宋体" w:eastAsia="宋体" w:cs="宋体"/>
                <w:color w:val="auto"/>
                <w:sz w:val="24"/>
                <w:szCs w:val="24"/>
                <w:highlight w:val="none"/>
                <w:lang w:val="en-US" w:eastAsia="zh-CN"/>
              </w:rPr>
            </w:pPr>
          </w:p>
        </w:tc>
        <w:tc>
          <w:tcPr>
            <w:tcW w:w="1616" w:type="dxa"/>
            <w:shd w:val="clear" w:color="auto" w:fill="auto"/>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照明模块</w:t>
            </w:r>
          </w:p>
        </w:tc>
        <w:tc>
          <w:tcPr>
            <w:tcW w:w="3975" w:type="dxa"/>
            <w:shd w:val="clear" w:color="auto" w:fill="auto"/>
            <w:vAlign w:val="center"/>
          </w:tcPr>
          <w:p>
            <w:pPr>
              <w:widowControl/>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功率：≥</w:t>
            </w:r>
            <w:r>
              <w:rPr>
                <w:rFonts w:hint="eastAsia" w:ascii="宋体" w:hAnsi="宋体" w:eastAsia="宋体" w:cs="宋体"/>
                <w:color w:val="auto"/>
                <w:sz w:val="24"/>
                <w:szCs w:val="24"/>
                <w:highlight w:val="none"/>
                <w:lang w:eastAsia="zh-CN"/>
              </w:rPr>
              <w:t>1600</w:t>
            </w:r>
            <w:r>
              <w:rPr>
                <w:rFonts w:hint="eastAsia" w:ascii="宋体" w:hAnsi="宋体" w:eastAsia="宋体" w:cs="宋体"/>
                <w:color w:val="auto"/>
                <w:sz w:val="24"/>
                <w:szCs w:val="24"/>
                <w:highlight w:val="none"/>
                <w:lang w:val="en-US" w:eastAsia="zh-CN"/>
              </w:rPr>
              <w:t>w</w:t>
            </w:r>
          </w:p>
          <w:p>
            <w:pPr>
              <w:widowControl/>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类型：</w:t>
            </w:r>
            <w:r>
              <w:rPr>
                <w:rFonts w:hint="eastAsia" w:ascii="宋体" w:hAnsi="宋体" w:eastAsia="宋体" w:cs="宋体"/>
                <w:color w:val="auto"/>
                <w:sz w:val="24"/>
                <w:szCs w:val="24"/>
                <w:highlight w:val="none"/>
                <w:lang w:eastAsia="zh-CN"/>
              </w:rPr>
              <w:t xml:space="preserve"> LED灯</w:t>
            </w:r>
          </w:p>
          <w:p>
            <w:pPr>
              <w:widowControl/>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照明高度：</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eastAsia="zh-CN"/>
              </w:rPr>
              <w:t>8米</w:t>
            </w:r>
          </w:p>
          <w:p>
            <w:pPr>
              <w:widowControl/>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旋转角度：360度</w:t>
            </w:r>
          </w:p>
        </w:tc>
        <w:tc>
          <w:tcPr>
            <w:tcW w:w="762" w:type="dxa"/>
            <w:shd w:val="clear" w:color="auto" w:fill="auto"/>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套</w:t>
            </w:r>
          </w:p>
        </w:tc>
        <w:tc>
          <w:tcPr>
            <w:tcW w:w="638" w:type="dxa"/>
            <w:shd w:val="clear" w:color="auto" w:fill="auto"/>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p>
        </w:tc>
        <w:tc>
          <w:tcPr>
            <w:tcW w:w="1125" w:type="dxa"/>
            <w:shd w:val="clear" w:color="auto" w:fill="auto"/>
            <w:vAlign w:val="center"/>
          </w:tcPr>
          <w:p>
            <w:pPr>
              <w:widowControl/>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接供货通知后1</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日内</w:t>
            </w:r>
          </w:p>
        </w:tc>
        <w:tc>
          <w:tcPr>
            <w:tcW w:w="1151" w:type="dxa"/>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36</w:t>
            </w:r>
            <w:r>
              <w:rPr>
                <w:rFonts w:hint="eastAsia" w:ascii="宋体" w:hAnsi="宋体" w:eastAsia="宋体" w:cs="宋体"/>
                <w:color w:val="auto"/>
                <w:sz w:val="24"/>
                <w:szCs w:val="24"/>
                <w:highlight w:val="none"/>
              </w:rPr>
              <w:t>个月</w:t>
            </w:r>
          </w:p>
        </w:tc>
        <w:tc>
          <w:tcPr>
            <w:tcW w:w="1275" w:type="dxa"/>
            <w:shd w:val="clear" w:color="auto" w:fill="auto"/>
            <w:vAlign w:val="center"/>
          </w:tcPr>
          <w:p>
            <w:pPr>
              <w:widowControl/>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买方指定地点</w:t>
            </w:r>
          </w:p>
        </w:tc>
        <w:tc>
          <w:tcPr>
            <w:tcW w:w="2404" w:type="dxa"/>
            <w:vMerge w:val="continue"/>
            <w:shd w:val="clear" w:color="auto" w:fill="auto"/>
            <w:vAlign w:val="center"/>
          </w:tcPr>
          <w:p>
            <w:pPr>
              <w:widowControl/>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0" w:type="auto"/>
            <w:vMerge w:val="continue"/>
            <w:vAlign w:val="center"/>
          </w:tcPr>
          <w:p>
            <w:pPr>
              <w:widowControl/>
              <w:jc w:val="center"/>
              <w:rPr>
                <w:rFonts w:hint="eastAsia" w:ascii="宋体" w:hAnsi="宋体" w:eastAsia="宋体" w:cs="宋体"/>
                <w:color w:val="auto"/>
                <w:sz w:val="24"/>
                <w:szCs w:val="24"/>
                <w:highlight w:val="none"/>
                <w:lang w:val="en-US" w:eastAsia="zh-CN"/>
              </w:rPr>
            </w:pPr>
          </w:p>
        </w:tc>
        <w:tc>
          <w:tcPr>
            <w:tcW w:w="1616" w:type="dxa"/>
            <w:shd w:val="clear" w:color="auto" w:fill="auto"/>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吊臂</w:t>
            </w:r>
          </w:p>
        </w:tc>
        <w:tc>
          <w:tcPr>
            <w:tcW w:w="3975" w:type="dxa"/>
            <w:shd w:val="clear" w:color="auto" w:fill="auto"/>
            <w:vAlign w:val="center"/>
          </w:tcPr>
          <w:p>
            <w:pPr>
              <w:widowControl/>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起吊重量：</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0.5吨</w:t>
            </w:r>
          </w:p>
          <w:p>
            <w:pPr>
              <w:widowControl/>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起吊高度：</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3.5米</w:t>
            </w:r>
          </w:p>
          <w:p>
            <w:pPr>
              <w:widowControl/>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绳    索：</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eastAsia="zh-CN"/>
              </w:rPr>
              <w:t>30米</w:t>
            </w:r>
          </w:p>
          <w:p>
            <w:pPr>
              <w:widowControl/>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旋转角度：360度</w:t>
            </w:r>
          </w:p>
        </w:tc>
        <w:tc>
          <w:tcPr>
            <w:tcW w:w="762" w:type="dxa"/>
            <w:shd w:val="clear" w:color="auto" w:fill="auto"/>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套</w:t>
            </w:r>
          </w:p>
        </w:tc>
        <w:tc>
          <w:tcPr>
            <w:tcW w:w="638" w:type="dxa"/>
            <w:shd w:val="clear" w:color="auto" w:fill="auto"/>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p>
        </w:tc>
        <w:tc>
          <w:tcPr>
            <w:tcW w:w="1125" w:type="dxa"/>
            <w:shd w:val="clear" w:color="auto" w:fill="auto"/>
            <w:vAlign w:val="center"/>
          </w:tcPr>
          <w:p>
            <w:pPr>
              <w:widowControl/>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接供货通知后1</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日内</w:t>
            </w:r>
          </w:p>
        </w:tc>
        <w:tc>
          <w:tcPr>
            <w:tcW w:w="1151" w:type="dxa"/>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36</w:t>
            </w:r>
            <w:r>
              <w:rPr>
                <w:rFonts w:hint="eastAsia" w:ascii="宋体" w:hAnsi="宋体" w:eastAsia="宋体" w:cs="宋体"/>
                <w:color w:val="auto"/>
                <w:sz w:val="24"/>
                <w:szCs w:val="24"/>
                <w:highlight w:val="none"/>
              </w:rPr>
              <w:t>个月</w:t>
            </w:r>
          </w:p>
        </w:tc>
        <w:tc>
          <w:tcPr>
            <w:tcW w:w="1275" w:type="dxa"/>
            <w:shd w:val="clear" w:color="auto" w:fill="auto"/>
            <w:vAlign w:val="center"/>
          </w:tcPr>
          <w:p>
            <w:pPr>
              <w:widowControl/>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买方指定地点</w:t>
            </w:r>
          </w:p>
        </w:tc>
        <w:tc>
          <w:tcPr>
            <w:tcW w:w="2404" w:type="dxa"/>
            <w:vMerge w:val="continue"/>
            <w:shd w:val="clear" w:color="auto" w:fill="auto"/>
            <w:vAlign w:val="center"/>
          </w:tcPr>
          <w:p>
            <w:pPr>
              <w:widowControl/>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0" w:type="auto"/>
            <w:vMerge w:val="continue"/>
            <w:vAlign w:val="center"/>
          </w:tcPr>
          <w:p>
            <w:pPr>
              <w:widowControl/>
              <w:jc w:val="center"/>
              <w:rPr>
                <w:rFonts w:hint="eastAsia" w:ascii="宋体" w:hAnsi="宋体" w:eastAsia="宋体" w:cs="宋体"/>
                <w:color w:val="auto"/>
                <w:sz w:val="24"/>
                <w:szCs w:val="24"/>
                <w:highlight w:val="none"/>
                <w:lang w:val="en-US" w:eastAsia="zh-CN"/>
              </w:rPr>
            </w:pPr>
          </w:p>
        </w:tc>
        <w:tc>
          <w:tcPr>
            <w:tcW w:w="1616" w:type="dxa"/>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液压输出</w:t>
            </w:r>
          </w:p>
        </w:tc>
        <w:tc>
          <w:tcPr>
            <w:tcW w:w="3975" w:type="dxa"/>
            <w:vAlign w:val="center"/>
          </w:tcPr>
          <w:p>
            <w:pPr>
              <w:widowControl/>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4个液压动力源接口，可供液压扩张器、液压锯、液压钳、液压破碎镐 等液压工具提供动力源（此配置不在本次供货范畴，可作为后期需求升级）</w:t>
            </w:r>
          </w:p>
        </w:tc>
        <w:tc>
          <w:tcPr>
            <w:tcW w:w="762" w:type="dxa"/>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套</w:t>
            </w:r>
          </w:p>
        </w:tc>
        <w:tc>
          <w:tcPr>
            <w:tcW w:w="638" w:type="dxa"/>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p>
        </w:tc>
        <w:tc>
          <w:tcPr>
            <w:tcW w:w="1125" w:type="dxa"/>
            <w:vAlign w:val="center"/>
          </w:tcPr>
          <w:p>
            <w:pPr>
              <w:widowControl/>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接供货通知后1</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日内</w:t>
            </w:r>
          </w:p>
        </w:tc>
        <w:tc>
          <w:tcPr>
            <w:tcW w:w="1151" w:type="dxa"/>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36</w:t>
            </w:r>
            <w:r>
              <w:rPr>
                <w:rFonts w:hint="eastAsia" w:ascii="宋体" w:hAnsi="宋体" w:eastAsia="宋体" w:cs="宋体"/>
                <w:color w:val="auto"/>
                <w:sz w:val="24"/>
                <w:szCs w:val="24"/>
                <w:highlight w:val="none"/>
              </w:rPr>
              <w:t>个月</w:t>
            </w:r>
          </w:p>
        </w:tc>
        <w:tc>
          <w:tcPr>
            <w:tcW w:w="1275" w:type="dxa"/>
            <w:vAlign w:val="center"/>
          </w:tcPr>
          <w:p>
            <w:pPr>
              <w:widowControl/>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买方指定地点</w:t>
            </w:r>
          </w:p>
        </w:tc>
        <w:tc>
          <w:tcPr>
            <w:tcW w:w="2404" w:type="dxa"/>
            <w:vMerge w:val="continue"/>
            <w:vAlign w:val="center"/>
          </w:tcPr>
          <w:p>
            <w:pPr>
              <w:widowControl/>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jc w:val="center"/>
        </w:trPr>
        <w:tc>
          <w:tcPr>
            <w:tcW w:w="0" w:type="auto"/>
            <w:vMerge w:val="continue"/>
            <w:vAlign w:val="center"/>
          </w:tcPr>
          <w:p>
            <w:pPr>
              <w:widowControl/>
              <w:jc w:val="center"/>
              <w:rPr>
                <w:rFonts w:hint="eastAsia" w:ascii="宋体" w:hAnsi="宋体" w:eastAsia="宋体" w:cs="宋体"/>
                <w:color w:val="auto"/>
                <w:sz w:val="24"/>
                <w:szCs w:val="24"/>
                <w:highlight w:val="none"/>
                <w:lang w:val="en-US" w:eastAsia="zh-CN"/>
              </w:rPr>
            </w:pPr>
          </w:p>
        </w:tc>
        <w:tc>
          <w:tcPr>
            <w:tcW w:w="1616" w:type="dxa"/>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电力输出模块</w:t>
            </w:r>
          </w:p>
        </w:tc>
        <w:tc>
          <w:tcPr>
            <w:tcW w:w="3975" w:type="dxa"/>
            <w:vAlign w:val="center"/>
          </w:tcPr>
          <w:p>
            <w:pPr>
              <w:widowControl/>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最大功率3000瓦 AC220V输出</w:t>
            </w:r>
          </w:p>
        </w:tc>
        <w:tc>
          <w:tcPr>
            <w:tcW w:w="762" w:type="dxa"/>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套</w:t>
            </w:r>
          </w:p>
        </w:tc>
        <w:tc>
          <w:tcPr>
            <w:tcW w:w="638" w:type="dxa"/>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p>
        </w:tc>
        <w:tc>
          <w:tcPr>
            <w:tcW w:w="1125" w:type="dxa"/>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接供货通知后1</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日内</w:t>
            </w:r>
          </w:p>
        </w:tc>
        <w:tc>
          <w:tcPr>
            <w:tcW w:w="1151" w:type="dxa"/>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36</w:t>
            </w:r>
            <w:r>
              <w:rPr>
                <w:rFonts w:hint="eastAsia" w:ascii="宋体" w:hAnsi="宋体" w:eastAsia="宋体" w:cs="宋体"/>
                <w:color w:val="auto"/>
                <w:sz w:val="24"/>
                <w:szCs w:val="24"/>
                <w:highlight w:val="none"/>
              </w:rPr>
              <w:t>个月</w:t>
            </w:r>
          </w:p>
        </w:tc>
        <w:tc>
          <w:tcPr>
            <w:tcW w:w="1275" w:type="dxa"/>
            <w:vAlign w:val="center"/>
          </w:tcPr>
          <w:p>
            <w:pPr>
              <w:widowControl/>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买方指定地点</w:t>
            </w:r>
          </w:p>
        </w:tc>
        <w:tc>
          <w:tcPr>
            <w:tcW w:w="2404" w:type="dxa"/>
            <w:vMerge w:val="continue"/>
            <w:vAlign w:val="center"/>
          </w:tcPr>
          <w:p>
            <w:pPr>
              <w:widowControl/>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0" w:type="auto"/>
            <w:vMerge w:val="continue"/>
            <w:vAlign w:val="center"/>
          </w:tcPr>
          <w:p>
            <w:pPr>
              <w:widowControl/>
              <w:jc w:val="center"/>
              <w:rPr>
                <w:rFonts w:hint="eastAsia" w:ascii="宋体" w:hAnsi="宋体" w:eastAsia="宋体" w:cs="宋体"/>
                <w:color w:val="auto"/>
                <w:sz w:val="24"/>
                <w:szCs w:val="24"/>
                <w:highlight w:val="none"/>
                <w:lang w:val="en-US" w:eastAsia="zh-CN"/>
              </w:rPr>
            </w:pPr>
          </w:p>
        </w:tc>
        <w:tc>
          <w:tcPr>
            <w:tcW w:w="1616" w:type="dxa"/>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柴油箱</w:t>
            </w:r>
          </w:p>
        </w:tc>
        <w:tc>
          <w:tcPr>
            <w:tcW w:w="3975" w:type="dxa"/>
            <w:vAlign w:val="center"/>
          </w:tcPr>
          <w:p>
            <w:pPr>
              <w:widowControl/>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600L（连续工作12小时）</w:t>
            </w:r>
          </w:p>
        </w:tc>
        <w:tc>
          <w:tcPr>
            <w:tcW w:w="762" w:type="dxa"/>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套</w:t>
            </w:r>
          </w:p>
        </w:tc>
        <w:tc>
          <w:tcPr>
            <w:tcW w:w="638" w:type="dxa"/>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p>
        </w:tc>
        <w:tc>
          <w:tcPr>
            <w:tcW w:w="1125" w:type="dxa"/>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接供货通知后1</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日内</w:t>
            </w:r>
          </w:p>
        </w:tc>
        <w:tc>
          <w:tcPr>
            <w:tcW w:w="1151" w:type="dxa"/>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36</w:t>
            </w:r>
            <w:r>
              <w:rPr>
                <w:rFonts w:hint="eastAsia" w:ascii="宋体" w:hAnsi="宋体" w:eastAsia="宋体" w:cs="宋体"/>
                <w:color w:val="auto"/>
                <w:sz w:val="24"/>
                <w:szCs w:val="24"/>
                <w:highlight w:val="none"/>
              </w:rPr>
              <w:t>个月</w:t>
            </w:r>
          </w:p>
        </w:tc>
        <w:tc>
          <w:tcPr>
            <w:tcW w:w="1275" w:type="dxa"/>
            <w:vAlign w:val="center"/>
          </w:tcPr>
          <w:p>
            <w:pPr>
              <w:widowControl/>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买方指定地点</w:t>
            </w:r>
          </w:p>
        </w:tc>
        <w:tc>
          <w:tcPr>
            <w:tcW w:w="2404" w:type="dxa"/>
            <w:vMerge w:val="continue"/>
            <w:vAlign w:val="center"/>
          </w:tcPr>
          <w:p>
            <w:pPr>
              <w:widowControl/>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0" w:type="auto"/>
            <w:vMerge w:val="continue"/>
            <w:vAlign w:val="center"/>
          </w:tcPr>
          <w:p>
            <w:pPr>
              <w:widowControl/>
              <w:jc w:val="center"/>
              <w:rPr>
                <w:rFonts w:hint="eastAsia" w:ascii="宋体" w:hAnsi="宋体" w:eastAsia="宋体" w:cs="宋体"/>
                <w:color w:val="auto"/>
                <w:sz w:val="24"/>
                <w:szCs w:val="24"/>
                <w:highlight w:val="none"/>
                <w:lang w:val="en-US" w:eastAsia="zh-CN"/>
              </w:rPr>
            </w:pPr>
          </w:p>
        </w:tc>
        <w:tc>
          <w:tcPr>
            <w:tcW w:w="1616" w:type="dxa"/>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运动模块</w:t>
            </w:r>
          </w:p>
        </w:tc>
        <w:tc>
          <w:tcPr>
            <w:tcW w:w="3975" w:type="dxa"/>
            <w:vAlign w:val="center"/>
          </w:tcPr>
          <w:p>
            <w:pPr>
              <w:widowControl/>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爬坡角度30度</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后置牵引钩拉力1吨</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装卸方式无线遥控自行上下车</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涉水深度</w:t>
            </w:r>
            <w:r>
              <w:rPr>
                <w:rFonts w:hint="eastAsia" w:ascii="宋体" w:hAnsi="宋体" w:eastAsia="宋体" w:cs="宋体"/>
                <w:color w:val="auto"/>
                <w:sz w:val="24"/>
                <w:szCs w:val="24"/>
                <w:highlight w:val="none"/>
                <w:lang w:val="en-US" w:eastAsia="zh-CN"/>
              </w:rPr>
              <w:t>≥0.8</w:t>
            </w:r>
            <w:r>
              <w:rPr>
                <w:rFonts w:hint="eastAsia" w:ascii="宋体" w:hAnsi="宋体" w:eastAsia="宋体" w:cs="宋体"/>
                <w:color w:val="auto"/>
                <w:sz w:val="24"/>
                <w:szCs w:val="24"/>
                <w:highlight w:val="none"/>
              </w:rPr>
              <w:t>米</w:t>
            </w:r>
          </w:p>
        </w:tc>
        <w:tc>
          <w:tcPr>
            <w:tcW w:w="762" w:type="dxa"/>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套</w:t>
            </w:r>
          </w:p>
        </w:tc>
        <w:tc>
          <w:tcPr>
            <w:tcW w:w="638" w:type="dxa"/>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p>
        </w:tc>
        <w:tc>
          <w:tcPr>
            <w:tcW w:w="1125" w:type="dxa"/>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接供货通知后1</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日内</w:t>
            </w:r>
          </w:p>
        </w:tc>
        <w:tc>
          <w:tcPr>
            <w:tcW w:w="1151" w:type="dxa"/>
            <w:vAlign w:val="center"/>
          </w:tcPr>
          <w:p>
            <w:pPr>
              <w:widowControl/>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36</w:t>
            </w:r>
            <w:r>
              <w:rPr>
                <w:rFonts w:hint="eastAsia" w:ascii="宋体" w:hAnsi="宋体" w:eastAsia="宋体" w:cs="宋体"/>
                <w:color w:val="auto"/>
                <w:sz w:val="24"/>
                <w:szCs w:val="24"/>
                <w:highlight w:val="none"/>
              </w:rPr>
              <w:t>个月</w:t>
            </w:r>
          </w:p>
        </w:tc>
        <w:tc>
          <w:tcPr>
            <w:tcW w:w="1275" w:type="dxa"/>
            <w:vAlign w:val="center"/>
          </w:tcPr>
          <w:p>
            <w:pPr>
              <w:widowControl/>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买方指定地点</w:t>
            </w:r>
          </w:p>
        </w:tc>
        <w:tc>
          <w:tcPr>
            <w:tcW w:w="2404" w:type="dxa"/>
            <w:vMerge w:val="continue"/>
            <w:vAlign w:val="center"/>
          </w:tcPr>
          <w:p>
            <w:pPr>
              <w:widowControl/>
              <w:jc w:val="center"/>
              <w:rPr>
                <w:rFonts w:hint="eastAsia" w:ascii="宋体" w:hAnsi="宋体" w:eastAsia="宋体" w:cs="宋体"/>
                <w:color w:val="auto"/>
                <w:sz w:val="24"/>
                <w:szCs w:val="24"/>
                <w:highlight w:val="none"/>
              </w:rPr>
            </w:pPr>
          </w:p>
        </w:tc>
      </w:tr>
    </w:tbl>
    <w:p>
      <w:pPr>
        <w:pStyle w:val="15"/>
        <w:numPr>
          <w:ilvl w:val="0"/>
          <w:numId w:val="0"/>
        </w:numPr>
        <w:shd w:val="clear"/>
        <w:spacing w:line="240" w:lineRule="auto"/>
        <w:ind w:leftChars="-170" w:firstLine="480" w:firstLineChars="200"/>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具体供货不局限于上述产品。应包括上述产品相关配件，类似升级产品。</w:t>
      </w:r>
    </w:p>
    <w:p>
      <w:pPr>
        <w:shd w:val="clear"/>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w:t>
      </w:r>
    </w:p>
    <w:p>
      <w:pPr>
        <w:shd w:val="clear"/>
        <w:spacing w:line="24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取得《国家电网有限公司集中规模招标采购供应商资质能力核实证明》或《国网智能科技股份有限公司集中规模招标采购供应商资质能力核实证明》（以下简称《核实证明》）的投标人，应按要求使用该《核实证明》。《核实证明》含有的业绩、试验报告不能满足招标文件要求的，需要提供满足要求的业绩、试验报告等证明材料；未取得《核实证明》的，投标人需要提供对应支持证明材料。</w:t>
      </w:r>
      <w:r>
        <w:rPr>
          <w:rFonts w:hint="eastAsia" w:ascii="宋体" w:hAnsi="宋体" w:eastAsia="宋体" w:cs="宋体"/>
          <w:color w:val="auto"/>
          <w:sz w:val="24"/>
          <w:szCs w:val="24"/>
          <w:highlight w:val="none"/>
        </w:rPr>
        <w:br w:type="textWrapping"/>
      </w:r>
      <w:r>
        <w:rPr>
          <w:rFonts w:hint="eastAsia" w:ascii="宋体" w:hAnsi="宋体" w:eastAsia="宋体" w:cs="宋体"/>
          <w:color w:val="auto"/>
          <w:sz w:val="24"/>
          <w:szCs w:val="24"/>
          <w:highlight w:val="none"/>
        </w:rPr>
        <w:t>2.投标文件中提供的证明材料复印件应复印清晰、可辨认且不得遮盖、涂抹，否则视为无效。</w:t>
      </w:r>
    </w:p>
    <w:p>
      <w:pPr>
        <w:shd w:val="clear"/>
        <w:spacing w:line="24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合同金额以所提供的发票及查验截图为准，业绩发票影印件后须附通过国家税务总局全国增值税发票查验平台（网址：https://inv-veri.chinatax.gov.cn/）查验的发票结果截图，“一发票一截图”，发票开票日期不得晚于项目“专用业绩要求”中要求的时间。未提供发票或未提供对应发票查验结果截图的或发票开标日期晚于项目“专用业绩要求”中要求的时间的业绩不予认可。所有业绩支撑证明材料内容须保证清晰、可辨认且不得遮盖、涂抹。</w:t>
      </w:r>
    </w:p>
    <w:sectPr>
      <w:footerReference r:id="rId3" w:type="default"/>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tabs>
        <w:tab w:val="center" w:pos="6979"/>
        <w:tab w:val="clear" w:pos="8306"/>
      </w:tabs>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6"/>
                          </w:pPr>
                          <w:r>
                            <w:fldChar w:fldCharType="begin"/>
                          </w:r>
                          <w:r>
                            <w:instrText xml:space="preserve"> PAGE  \* MERGEFORMAT </w:instrText>
                          </w:r>
                          <w:r>
                            <w:fldChar w:fldCharType="separate"/>
                          </w:r>
                          <w:r>
                            <w:t>2</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pPr>
                      <w:pStyle w:val="6"/>
                    </w:pPr>
                    <w:r>
                      <w:fldChar w:fldCharType="begin"/>
                    </w:r>
                    <w:r>
                      <w:instrText xml:space="preserve"> PAGE  \* MERGEFORMAT </w:instrText>
                    </w:r>
                    <w:r>
                      <w:fldChar w:fldCharType="separate"/>
                    </w:r>
                    <w:r>
                      <w:t>2</w:t>
                    </w:r>
                    <w:r>
                      <w:fldChar w:fldCharType="end"/>
                    </w:r>
                  </w:p>
                </w:txbxContent>
              </v:textbox>
            </v:shape>
          </w:pict>
        </mc:Fallback>
      </mc:AlternateContent>
    </w: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58420" cy="1397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58420" cy="139700"/>
                      </a:xfrm>
                      <a:prstGeom prst="rect">
                        <a:avLst/>
                      </a:prstGeom>
                      <a:noFill/>
                      <a:ln>
                        <a:noFill/>
                      </a:ln>
                      <a:effectLst/>
                    </wps:spPr>
                    <wps:txbx>
                      <w:txbxContent>
                        <w:p>
                          <w:pPr>
                            <w:pStyle w:val="6"/>
                          </w:pP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1pt;width:4.6pt;mso-position-horizontal:center;mso-position-horizontal-relative:margin;mso-wrap-style:none;z-index:251659264;mso-width-relative:page;mso-height-relative:page;" filled="f" stroked="f" coordsize="21600,21600" o:gfxdata="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y1u5d9AAAAACAQAADwAAAAAAAAABACAAAAAiAAAAZHJz&#10;L2Rvd25yZXYueG1sUEsBAhQAFAAAAAgAh07iQOmC997TAQAApAMAAA4AAAAAAAAAAQAgAAAAHwEA&#10;AGRycy9lMm9Eb2MueG1sUEsFBgAAAAAGAAYAWQEAAGQFAAAAAA==&#10;">
              <v:fill on="f" focussize="0,0"/>
              <v:stroke on="f"/>
              <v:imagedata o:title=""/>
              <o:lock v:ext="edit" aspectratio="f"/>
              <v:textbox inset="0mm,0mm,0mm,0mm" style="mso-fit-shape-to-text:t;">
                <w:txbxContent>
                  <w:p>
                    <w:pPr>
                      <w:pStyle w:val="6"/>
                    </w:pPr>
                  </w:p>
                </w:txbxContent>
              </v:textbox>
            </v:shape>
          </w:pict>
        </mc:Fallback>
      </mc:AlternateContent>
    </w:r>
    <w:r>
      <w:tab/>
    </w:r>
    <w:r>
      <w:tab/>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FmZDMzM2YxZWEwODNkZTM2ZjNiZDczOTVhYTdlMDMifQ=="/>
  </w:docVars>
  <w:rsids>
    <w:rsidRoot w:val="00000000"/>
    <w:rsid w:val="04707138"/>
    <w:rsid w:val="04860D8F"/>
    <w:rsid w:val="07563215"/>
    <w:rsid w:val="09F87078"/>
    <w:rsid w:val="0A8B5858"/>
    <w:rsid w:val="0C9566ED"/>
    <w:rsid w:val="10C017AC"/>
    <w:rsid w:val="11EF4173"/>
    <w:rsid w:val="16267F4A"/>
    <w:rsid w:val="16D00F9D"/>
    <w:rsid w:val="17252504"/>
    <w:rsid w:val="17832749"/>
    <w:rsid w:val="188E6C44"/>
    <w:rsid w:val="18E776A7"/>
    <w:rsid w:val="20CC70A0"/>
    <w:rsid w:val="22BC120E"/>
    <w:rsid w:val="22F71DBE"/>
    <w:rsid w:val="26BD5819"/>
    <w:rsid w:val="28455ABC"/>
    <w:rsid w:val="2EBF6414"/>
    <w:rsid w:val="3A2F2590"/>
    <w:rsid w:val="402A5423"/>
    <w:rsid w:val="42CE694E"/>
    <w:rsid w:val="4AA15384"/>
    <w:rsid w:val="4ABD7A75"/>
    <w:rsid w:val="4D2E620D"/>
    <w:rsid w:val="4F403134"/>
    <w:rsid w:val="50E64EAF"/>
    <w:rsid w:val="50EC207F"/>
    <w:rsid w:val="511E0452"/>
    <w:rsid w:val="51340035"/>
    <w:rsid w:val="516A3318"/>
    <w:rsid w:val="54B330C5"/>
    <w:rsid w:val="637846F9"/>
    <w:rsid w:val="668F4233"/>
    <w:rsid w:val="699B2708"/>
    <w:rsid w:val="6B0F6C92"/>
    <w:rsid w:val="6B8F54C3"/>
    <w:rsid w:val="72A11576"/>
    <w:rsid w:val="762519CD"/>
    <w:rsid w:val="779E0348"/>
    <w:rsid w:val="77C16217"/>
    <w:rsid w:val="784A768E"/>
    <w:rsid w:val="7A725926"/>
    <w:rsid w:val="7C30728F"/>
    <w:rsid w:val="7EFA700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2"/>
    <w:basedOn w:val="1"/>
    <w:next w:val="1"/>
    <w:autoRedefine/>
    <w:qFormat/>
    <w:uiPriority w:val="0"/>
    <w:pPr>
      <w:keepNext/>
      <w:keepLines/>
      <w:topLinePunct/>
      <w:adjustRightInd w:val="0"/>
      <w:snapToGrid w:val="0"/>
      <w:spacing w:beforeLines="80" w:afterLines="80"/>
      <w:outlineLvl w:val="1"/>
    </w:pPr>
    <w:rPr>
      <w:rFonts w:ascii="Arial" w:hAnsi="Arial" w:eastAsia="黑体"/>
    </w:rPr>
  </w:style>
  <w:style w:type="character" w:default="1" w:styleId="10">
    <w:name w:val="Default Paragraph Font"/>
    <w:autoRedefine/>
    <w:semiHidden/>
    <w:qFormat/>
    <w:uiPriority w:val="0"/>
  </w:style>
  <w:style w:type="table" w:default="1" w:styleId="9">
    <w:name w:val="Normal Table"/>
    <w:autoRedefine/>
    <w:semiHidden/>
    <w:qFormat/>
    <w:uiPriority w:val="0"/>
    <w:tblPr>
      <w:tblCellMar>
        <w:top w:w="0" w:type="dxa"/>
        <w:left w:w="108" w:type="dxa"/>
        <w:bottom w:w="0" w:type="dxa"/>
        <w:right w:w="108" w:type="dxa"/>
      </w:tblCellMar>
    </w:tblPr>
  </w:style>
  <w:style w:type="paragraph" w:styleId="3">
    <w:name w:val="annotation text"/>
    <w:basedOn w:val="1"/>
    <w:qFormat/>
    <w:uiPriority w:val="0"/>
    <w:pPr>
      <w:jc w:val="left"/>
    </w:pPr>
  </w:style>
  <w:style w:type="paragraph" w:styleId="4">
    <w:name w:val="Body Text"/>
    <w:basedOn w:val="1"/>
    <w:next w:val="1"/>
    <w:autoRedefine/>
    <w:qFormat/>
    <w:uiPriority w:val="0"/>
    <w:pPr>
      <w:spacing w:after="120"/>
    </w:pPr>
    <w:rPr>
      <w:szCs w:val="24"/>
    </w:rPr>
  </w:style>
  <w:style w:type="paragraph" w:styleId="5">
    <w:name w:val="Body Text Indent"/>
    <w:basedOn w:val="1"/>
    <w:autoRedefine/>
    <w:qFormat/>
    <w:uiPriority w:val="0"/>
    <w:pPr>
      <w:spacing w:after="120"/>
      <w:ind w:left="420"/>
    </w:pPr>
    <w:rPr>
      <w:sz w:val="22"/>
    </w:rPr>
  </w:style>
  <w:style w:type="paragraph" w:styleId="6">
    <w:name w:val="footer"/>
    <w:basedOn w:val="1"/>
    <w:autoRedefine/>
    <w:unhideWhenUsed/>
    <w:qFormat/>
    <w:uiPriority w:val="99"/>
    <w:pPr>
      <w:tabs>
        <w:tab w:val="center" w:pos="4153"/>
        <w:tab w:val="right" w:pos="8306"/>
      </w:tabs>
      <w:snapToGrid w:val="0"/>
      <w:jc w:val="left"/>
    </w:pPr>
    <w:rPr>
      <w:sz w:val="18"/>
      <w:szCs w:val="18"/>
    </w:rPr>
  </w:style>
  <w:style w:type="paragraph" w:styleId="7">
    <w:name w:val="header"/>
    <w:basedOn w:val="1"/>
    <w:autoRedefine/>
    <w:unhideWhenUsed/>
    <w:qFormat/>
    <w:uiPriority w:val="0"/>
    <w:pPr>
      <w:pBdr>
        <w:bottom w:val="single" w:color="auto" w:sz="6" w:space="1"/>
      </w:pBdr>
      <w:tabs>
        <w:tab w:val="center" w:pos="4153"/>
        <w:tab w:val="right" w:pos="8306"/>
      </w:tabs>
      <w:snapToGrid w:val="0"/>
      <w:jc w:val="center"/>
    </w:pPr>
    <w:rPr>
      <w:sz w:val="18"/>
      <w:szCs w:val="18"/>
    </w:rPr>
  </w:style>
  <w:style w:type="paragraph" w:styleId="8">
    <w:name w:val="Body Text First Indent 2"/>
    <w:basedOn w:val="5"/>
    <w:autoRedefine/>
    <w:qFormat/>
    <w:uiPriority w:val="0"/>
    <w:pPr>
      <w:ind w:firstLine="420"/>
    </w:pPr>
  </w:style>
  <w:style w:type="character" w:styleId="11">
    <w:name w:val="Hyperlink"/>
    <w:autoRedefine/>
    <w:qFormat/>
    <w:uiPriority w:val="99"/>
    <w:rPr>
      <w:color w:val="0000FF"/>
      <w:u w:val="single"/>
    </w:rPr>
  </w:style>
  <w:style w:type="paragraph" w:customStyle="1" w:styleId="12">
    <w:name w:val="正文文本2"/>
    <w:basedOn w:val="1"/>
    <w:autoRedefine/>
    <w:qFormat/>
    <w:uiPriority w:val="0"/>
    <w:pPr>
      <w:autoSpaceDE w:val="0"/>
      <w:autoSpaceDN w:val="0"/>
      <w:jc w:val="left"/>
    </w:pPr>
    <w:rPr>
      <w:rFonts w:ascii="宋体" w:hAnsi="宋体"/>
      <w:kern w:val="0"/>
      <w:sz w:val="20"/>
      <w:szCs w:val="21"/>
      <w:lang w:val="zh-CN"/>
    </w:rPr>
  </w:style>
  <w:style w:type="paragraph" w:customStyle="1" w:styleId="13">
    <w:name w:val="Normal_1"/>
    <w:autoRedefine/>
    <w:qFormat/>
    <w:uiPriority w:val="0"/>
    <w:pPr>
      <w:widowControl w:val="0"/>
      <w:jc w:val="both"/>
    </w:pPr>
    <w:rPr>
      <w:rFonts w:ascii="Times New Roman" w:hAnsi="Times New Roman" w:eastAsia="宋体" w:cs="Times New Roman"/>
      <w:lang w:val="en-US" w:eastAsia="zh-CN" w:bidi="ar-SA"/>
    </w:rPr>
  </w:style>
  <w:style w:type="paragraph" w:customStyle="1" w:styleId="14">
    <w:name w:val="No Spacing"/>
    <w:autoRedefine/>
    <w:qFormat/>
    <w:uiPriority w:val="1"/>
    <w:rPr>
      <w:rFonts w:ascii="宋体" w:hAnsi="宋体" w:eastAsia="宋体" w:cs="宋体"/>
      <w:kern w:val="0"/>
      <w:sz w:val="24"/>
      <w:szCs w:val="24"/>
      <w:lang w:val="en-US" w:eastAsia="zh-CN" w:bidi="ar-SA"/>
    </w:rPr>
  </w:style>
  <w:style w:type="paragraph" w:styleId="15">
    <w:name w:val="List Paragraph"/>
    <w:basedOn w:val="1"/>
    <w:autoRedefine/>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Pages>
  <Words>5725</Words>
  <Characters>6341</Characters>
  <Lines>0</Lines>
  <Paragraphs>0</Paragraphs>
  <TotalTime>1</TotalTime>
  <ScaleCrop>false</ScaleCrop>
  <LinksUpToDate>false</LinksUpToDate>
  <CharactersWithSpaces>6379</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2024-07-24T08:45:00Z</dcterms:created>
  <dc:creator>Administrator</dc:creator>
  <cp:lastModifiedBy>北辰</cp:lastModifiedBy>
  <dcterms:modified xsi:type="dcterms:W3CDTF">2025-06-16T10:13:23Z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E8FEA43B24CD44EEBB7E9181F5392099_13</vt:lpwstr>
  </property>
</Properties>
</file>