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6C11E">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Start w:id="0" w:name="_GoBack"/>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24"/>
        <w:gridCol w:w="4430"/>
        <w:gridCol w:w="793"/>
        <w:gridCol w:w="809"/>
        <w:gridCol w:w="921"/>
        <w:gridCol w:w="1136"/>
        <w:gridCol w:w="1071"/>
        <w:gridCol w:w="1715"/>
        <w:gridCol w:w="1664"/>
      </w:tblGrid>
      <w:tr w14:paraId="2C11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7" w:type="dxa"/>
            <w:vAlign w:val="center"/>
          </w:tcPr>
          <w:p w14:paraId="2F34399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924" w:type="dxa"/>
            <w:shd w:val="clear" w:color="auto" w:fill="auto"/>
            <w:vAlign w:val="center"/>
          </w:tcPr>
          <w:p w14:paraId="3E48A7C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4430" w:type="dxa"/>
            <w:shd w:val="clear" w:color="auto" w:fill="auto"/>
            <w:vAlign w:val="center"/>
          </w:tcPr>
          <w:p w14:paraId="0D18C2F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93" w:type="dxa"/>
            <w:shd w:val="clear" w:color="auto" w:fill="auto"/>
            <w:vAlign w:val="center"/>
          </w:tcPr>
          <w:p w14:paraId="1E70E54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09" w:type="dxa"/>
            <w:shd w:val="clear" w:color="auto" w:fill="auto"/>
            <w:vAlign w:val="center"/>
          </w:tcPr>
          <w:p w14:paraId="0D09EA7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21" w:type="dxa"/>
            <w:shd w:val="clear" w:color="auto" w:fill="auto"/>
            <w:vAlign w:val="center"/>
          </w:tcPr>
          <w:p w14:paraId="1964F43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136" w:type="dxa"/>
            <w:vAlign w:val="center"/>
          </w:tcPr>
          <w:p w14:paraId="6865FA3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质保期（不低于）</w:t>
            </w:r>
          </w:p>
        </w:tc>
        <w:tc>
          <w:tcPr>
            <w:tcW w:w="1071" w:type="dxa"/>
            <w:shd w:val="clear" w:color="auto" w:fill="auto"/>
            <w:vAlign w:val="center"/>
          </w:tcPr>
          <w:p w14:paraId="09D43D5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1715" w:type="dxa"/>
            <w:shd w:val="clear" w:color="auto" w:fill="auto"/>
            <w:vAlign w:val="center"/>
          </w:tcPr>
          <w:p w14:paraId="31378FEB">
            <w:pPr>
              <w:widowControl/>
              <w:jc w:val="center"/>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c>
          <w:tcPr>
            <w:tcW w:w="1664" w:type="dxa"/>
            <w:shd w:val="clear" w:color="auto" w:fill="auto"/>
            <w:vAlign w:val="center"/>
          </w:tcPr>
          <w:p w14:paraId="0154190F">
            <w:pPr>
              <w:widowControl/>
              <w:snapToGrid w:val="0"/>
              <w:jc w:val="center"/>
              <w:rPr>
                <w:rFonts w:hint="default"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专用资格要求</w:t>
            </w:r>
          </w:p>
        </w:tc>
      </w:tr>
      <w:tr w14:paraId="3235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7" w:type="dxa"/>
            <w:vMerge w:val="restart"/>
            <w:vAlign w:val="center"/>
          </w:tcPr>
          <w:p w14:paraId="2ABA8379">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val="en-US" w:eastAsia="zh-CN"/>
              </w:rPr>
              <w:t>无线接入单元采购项目</w:t>
            </w:r>
          </w:p>
        </w:tc>
        <w:tc>
          <w:tcPr>
            <w:tcW w:w="924" w:type="dxa"/>
            <w:shd w:val="clear" w:color="auto" w:fill="auto"/>
            <w:vAlign w:val="center"/>
          </w:tcPr>
          <w:p w14:paraId="29449067">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室内型AP</w:t>
            </w:r>
          </w:p>
        </w:tc>
        <w:tc>
          <w:tcPr>
            <w:tcW w:w="4430" w:type="dxa"/>
            <w:shd w:val="clear" w:color="auto" w:fill="auto"/>
            <w:vAlign w:val="center"/>
          </w:tcPr>
          <w:p w14:paraId="1A030555">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电源要求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支持POE方式供电</w:t>
            </w:r>
            <w:r>
              <w:rPr>
                <w:rFonts w:hint="eastAsia" w:ascii="宋体" w:hAnsi="宋体" w:eastAsia="宋体" w:cs="宋体"/>
                <w:sz w:val="24"/>
                <w:szCs w:val="24"/>
                <w:highlight w:val="none"/>
                <w:lang w:eastAsia="zh-CN"/>
              </w:rPr>
              <w:t>；</w:t>
            </w:r>
          </w:p>
          <w:p w14:paraId="096BE32B">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工作射频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为保证整机接入用户数，要求采用双频设计，可同时工作在802.11a/b/g/n/ac/ac wave2/ax等模式</w:t>
            </w:r>
            <w:r>
              <w:rPr>
                <w:rFonts w:hint="eastAsia" w:ascii="宋体" w:hAnsi="宋体" w:eastAsia="宋体" w:cs="宋体"/>
                <w:sz w:val="24"/>
                <w:szCs w:val="24"/>
                <w:highlight w:val="none"/>
                <w:lang w:eastAsia="zh-CN"/>
              </w:rPr>
              <w:t>；</w:t>
            </w:r>
          </w:p>
          <w:p w14:paraId="316D7497">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协商速率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整机协商速率≥1.166Gbps</w:t>
            </w:r>
            <w:r>
              <w:rPr>
                <w:rFonts w:hint="eastAsia" w:ascii="宋体" w:hAnsi="宋体" w:eastAsia="宋体" w:cs="宋体"/>
                <w:sz w:val="24"/>
                <w:szCs w:val="24"/>
                <w:highlight w:val="none"/>
                <w:lang w:eastAsia="zh-CN"/>
              </w:rPr>
              <w:t>；</w:t>
            </w:r>
          </w:p>
          <w:p w14:paraId="6CD1D308">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千兆以太网接口数量≥2</w:t>
            </w:r>
            <w:r>
              <w:rPr>
                <w:rFonts w:hint="eastAsia" w:ascii="宋体" w:hAnsi="宋体" w:eastAsia="宋体" w:cs="宋体"/>
                <w:sz w:val="24"/>
                <w:szCs w:val="24"/>
                <w:highlight w:val="none"/>
                <w:lang w:eastAsia="zh-CN"/>
              </w:rPr>
              <w:t>；</w:t>
            </w:r>
          </w:p>
          <w:p w14:paraId="5464A05B">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配置2个千兆以太网接口模块</w:t>
            </w:r>
            <w:r>
              <w:rPr>
                <w:rFonts w:hint="eastAsia" w:ascii="宋体" w:hAnsi="宋体" w:eastAsia="宋体" w:cs="宋体"/>
                <w:sz w:val="24"/>
                <w:szCs w:val="24"/>
                <w:highlight w:val="none"/>
                <w:lang w:eastAsia="zh-CN"/>
              </w:rPr>
              <w:t>；</w:t>
            </w:r>
          </w:p>
          <w:p w14:paraId="775AF696">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天线设计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内置智能全向天线</w:t>
            </w:r>
            <w:r>
              <w:rPr>
                <w:rFonts w:hint="eastAsia" w:ascii="宋体" w:hAnsi="宋体" w:eastAsia="宋体" w:cs="宋体"/>
                <w:sz w:val="24"/>
                <w:szCs w:val="24"/>
                <w:highlight w:val="none"/>
                <w:lang w:eastAsia="zh-CN"/>
              </w:rPr>
              <w:t>；</w:t>
            </w:r>
          </w:p>
          <w:p w14:paraId="17465091">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接入规格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整机接入用户规格≥512</w:t>
            </w:r>
            <w:r>
              <w:rPr>
                <w:rFonts w:hint="eastAsia" w:ascii="宋体" w:hAnsi="宋体" w:eastAsia="宋体" w:cs="宋体"/>
                <w:sz w:val="24"/>
                <w:szCs w:val="24"/>
                <w:highlight w:val="none"/>
                <w:lang w:eastAsia="zh-CN"/>
              </w:rPr>
              <w:t>；</w:t>
            </w:r>
          </w:p>
          <w:p w14:paraId="4DB3CEEA">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认证特性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支持WAPI认证、MAC 地址认证、Portal认证、MAC+Protal混合认证和符合GB/T 15629.3等相关国家标准要求的认证方法</w:t>
            </w:r>
            <w:r>
              <w:rPr>
                <w:rFonts w:hint="eastAsia" w:ascii="宋体" w:hAnsi="宋体" w:eastAsia="宋体" w:cs="宋体"/>
                <w:sz w:val="24"/>
                <w:szCs w:val="24"/>
                <w:highlight w:val="none"/>
                <w:lang w:eastAsia="zh-CN"/>
              </w:rPr>
              <w:t>；</w:t>
            </w:r>
          </w:p>
          <w:p w14:paraId="294DE176">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空口要求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要求SSID数≥16、SSID 配置 VLAN、SSID 内终端隔离、信号强度检测门阀、5G 优先、发射功率调整、QoS 功能、支持SSID隐藏等功能</w:t>
            </w:r>
            <w:r>
              <w:rPr>
                <w:rFonts w:hint="eastAsia" w:ascii="宋体" w:hAnsi="宋体" w:eastAsia="宋体" w:cs="宋体"/>
                <w:sz w:val="24"/>
                <w:szCs w:val="24"/>
                <w:highlight w:val="none"/>
                <w:lang w:eastAsia="zh-CN"/>
              </w:rPr>
              <w:t>；</w:t>
            </w:r>
          </w:p>
          <w:p w14:paraId="49068FF0">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防护等级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设备支持IP41防护级别</w:t>
            </w:r>
            <w:r>
              <w:rPr>
                <w:rFonts w:hint="eastAsia" w:ascii="宋体" w:hAnsi="宋体" w:eastAsia="宋体" w:cs="宋体"/>
                <w:sz w:val="24"/>
                <w:szCs w:val="24"/>
                <w:highlight w:val="none"/>
                <w:lang w:eastAsia="zh-CN"/>
              </w:rPr>
              <w:t>；</w:t>
            </w:r>
          </w:p>
          <w:p w14:paraId="25ADCD2B">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室内型工作温度支持-10ºC～50ºC</w:t>
            </w:r>
            <w:r>
              <w:rPr>
                <w:rFonts w:hint="eastAsia" w:ascii="宋体" w:hAnsi="宋体" w:eastAsia="宋体" w:cs="宋体"/>
                <w:sz w:val="24"/>
                <w:szCs w:val="24"/>
                <w:highlight w:val="none"/>
                <w:lang w:eastAsia="zh-CN"/>
              </w:rPr>
              <w:t>；</w:t>
            </w:r>
          </w:p>
          <w:p w14:paraId="0C3B6C78">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远程控制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支持远程复位重启置，支持使能或禁用无线网络</w:t>
            </w:r>
            <w:r>
              <w:rPr>
                <w:rFonts w:hint="eastAsia" w:ascii="宋体" w:hAnsi="宋体" w:eastAsia="宋体" w:cs="宋体"/>
                <w:sz w:val="24"/>
                <w:szCs w:val="24"/>
                <w:highlight w:val="none"/>
                <w:lang w:eastAsia="zh-CN"/>
              </w:rPr>
              <w:t>；</w:t>
            </w:r>
          </w:p>
          <w:p w14:paraId="342855E1">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逃生功能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本地转发模式下，支持AP逃生功能，当CAPWAP隧道中断，已在线终端不掉线，业务不中断</w:t>
            </w:r>
            <w:r>
              <w:rPr>
                <w:rFonts w:hint="eastAsia" w:ascii="宋体" w:hAnsi="宋体" w:eastAsia="宋体" w:cs="宋体"/>
                <w:sz w:val="24"/>
                <w:szCs w:val="24"/>
                <w:highlight w:val="none"/>
                <w:lang w:eastAsia="zh-CN"/>
              </w:rPr>
              <w:t>；</w:t>
            </w:r>
          </w:p>
          <w:p w14:paraId="2624654F">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漫游功能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支持无线漫游，用户在同一控制器下终端之间切换保证用户业务不中断，丢包率不大于3%</w:t>
            </w:r>
            <w:r>
              <w:rPr>
                <w:rFonts w:hint="eastAsia" w:ascii="宋体" w:hAnsi="宋体" w:eastAsia="宋体" w:cs="宋体"/>
                <w:sz w:val="24"/>
                <w:szCs w:val="24"/>
                <w:highlight w:val="none"/>
                <w:lang w:eastAsia="zh-CN"/>
              </w:rPr>
              <w:t>；</w:t>
            </w:r>
          </w:p>
          <w:p w14:paraId="2B9530B1">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配置与升级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支持远程复位重启、恢复出厂设置，支持使能或禁用无线网络，支持远程网络诊断；支持批量配置和单独进行配置；支持批量化固件升级和单独固件升级</w:t>
            </w:r>
            <w:r>
              <w:rPr>
                <w:rFonts w:hint="eastAsia" w:ascii="宋体" w:hAnsi="宋体" w:eastAsia="宋体" w:cs="宋体"/>
                <w:sz w:val="24"/>
                <w:szCs w:val="24"/>
                <w:highlight w:val="none"/>
                <w:lang w:eastAsia="zh-CN"/>
              </w:rPr>
              <w:t>；</w:t>
            </w:r>
          </w:p>
          <w:p w14:paraId="78D0B0E9">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网络管理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支持第三方综合网管对终端的配置和管理，对终端参数信息的配置，主要包括：黑白名单、优先级、射频配置、信道选择等功能</w:t>
            </w:r>
            <w:r>
              <w:rPr>
                <w:rFonts w:hint="eastAsia" w:ascii="宋体" w:hAnsi="宋体" w:eastAsia="宋体" w:cs="宋体"/>
                <w:sz w:val="24"/>
                <w:szCs w:val="24"/>
                <w:highlight w:val="none"/>
                <w:lang w:eastAsia="zh-CN"/>
              </w:rPr>
              <w:t>；</w:t>
            </w:r>
          </w:p>
          <w:p w14:paraId="11C4698C">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互联互通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可实现与异品牌控制器互联互通，开放数据采集功能，具备跨品牌控制器集中控制功能；支持与异品牌控制器的证书认证、业务数据加密、回传接入认证、终端间认证漫游、逃生等功能</w:t>
            </w:r>
            <w:r>
              <w:rPr>
                <w:rFonts w:hint="eastAsia" w:ascii="宋体" w:hAnsi="宋体" w:eastAsia="宋体" w:cs="宋体"/>
                <w:sz w:val="24"/>
                <w:szCs w:val="24"/>
                <w:highlight w:val="none"/>
                <w:lang w:eastAsia="zh-CN"/>
              </w:rPr>
              <w:t>；</w:t>
            </w:r>
          </w:p>
          <w:p w14:paraId="0C1A4013">
            <w:pPr>
              <w:pStyle w:val="15"/>
              <w:numPr>
                <w:ilvl w:val="0"/>
                <w:numId w:val="0"/>
              </w:numPr>
              <w:tabs>
                <w:tab w:val="left" w:pos="1620"/>
                <w:tab w:val="left" w:pos="7200"/>
              </w:tabs>
              <w:snapToGrid w:val="0"/>
              <w:spacing w:before="0" w:after="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安装方式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支持壁挂、吸顶安装方式</w:t>
            </w:r>
            <w:r>
              <w:rPr>
                <w:rFonts w:hint="eastAsia" w:ascii="宋体" w:hAnsi="宋体" w:eastAsia="宋体" w:cs="宋体"/>
                <w:sz w:val="24"/>
                <w:szCs w:val="24"/>
                <w:highlight w:val="none"/>
                <w:lang w:eastAsia="zh-CN"/>
              </w:rPr>
              <w:t>。</w:t>
            </w:r>
          </w:p>
        </w:tc>
        <w:tc>
          <w:tcPr>
            <w:tcW w:w="793" w:type="dxa"/>
            <w:shd w:val="clear" w:color="auto" w:fill="auto"/>
            <w:vAlign w:val="center"/>
          </w:tcPr>
          <w:p w14:paraId="6AF4476F">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台</w:t>
            </w:r>
          </w:p>
        </w:tc>
        <w:tc>
          <w:tcPr>
            <w:tcW w:w="809" w:type="dxa"/>
            <w:shd w:val="clear" w:color="auto" w:fill="auto"/>
            <w:vAlign w:val="center"/>
          </w:tcPr>
          <w:p w14:paraId="2F70767C">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2478</w:t>
            </w:r>
          </w:p>
        </w:tc>
        <w:tc>
          <w:tcPr>
            <w:tcW w:w="921" w:type="dxa"/>
            <w:shd w:val="clear" w:color="auto" w:fill="auto"/>
            <w:vAlign w:val="center"/>
          </w:tcPr>
          <w:p w14:paraId="4FD919DE">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136" w:type="dxa"/>
            <w:vAlign w:val="center"/>
          </w:tcPr>
          <w:p w14:paraId="79EE8725">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1071" w:type="dxa"/>
            <w:shd w:val="clear" w:color="auto" w:fill="auto"/>
            <w:vAlign w:val="center"/>
          </w:tcPr>
          <w:p w14:paraId="1A916831">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715" w:type="dxa"/>
            <w:vMerge w:val="restart"/>
            <w:shd w:val="clear" w:color="auto" w:fill="auto"/>
            <w:vAlign w:val="center"/>
          </w:tcPr>
          <w:p w14:paraId="3C790B1F">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业绩要求：</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年1月1日至招标采购公告发布日止，</w:t>
            </w:r>
            <w:r>
              <w:rPr>
                <w:rFonts w:hint="eastAsia" w:ascii="宋体" w:hAnsi="宋体" w:eastAsia="宋体" w:cs="宋体"/>
                <w:color w:val="auto"/>
                <w:kern w:val="0"/>
                <w:sz w:val="24"/>
                <w:szCs w:val="24"/>
                <w:highlight w:val="none"/>
                <w:lang w:val="en-US" w:eastAsia="zh-CN"/>
              </w:rPr>
              <w:t>投标方</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lang w:val="en-US" w:eastAsia="zh-CN"/>
              </w:rPr>
              <w:t>无线通信接入设备AP销售业绩不少于2份，合同额累计不低于100万元。注:业绩必须提供对应的合同复印件、发票和相应查验截图。</w:t>
            </w:r>
          </w:p>
        </w:tc>
        <w:tc>
          <w:tcPr>
            <w:tcW w:w="1664" w:type="dxa"/>
            <w:vMerge w:val="restart"/>
            <w:shd w:val="clear" w:color="auto" w:fill="auto"/>
            <w:vAlign w:val="center"/>
          </w:tcPr>
          <w:p w14:paraId="5C22D617">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检测报告：所投AP产品均需提供国家认可的第三方检测机构出具的有效的测试报告，检测项目须满足招标文件技术规范书中“系统容量，网络管理，互联互通”的技术要求。</w:t>
            </w:r>
          </w:p>
          <w:p w14:paraId="0B2B0251">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认证证书：所投AP产品需提供国家工信部无线电发射设备型号核准证。</w:t>
            </w:r>
          </w:p>
        </w:tc>
      </w:tr>
      <w:tr w14:paraId="5C62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7" w:type="dxa"/>
            <w:vMerge w:val="continue"/>
            <w:vAlign w:val="center"/>
          </w:tcPr>
          <w:p w14:paraId="7952724F">
            <w:pPr>
              <w:widowControl/>
              <w:jc w:val="center"/>
              <w:rPr>
                <w:rFonts w:hint="eastAsia" w:ascii="宋体" w:hAnsi="宋体" w:eastAsia="宋体" w:cs="宋体"/>
                <w:color w:val="000000"/>
                <w:kern w:val="0"/>
                <w:sz w:val="24"/>
                <w:szCs w:val="24"/>
                <w:highlight w:val="none"/>
                <w:lang w:bidi="ar"/>
              </w:rPr>
            </w:pPr>
          </w:p>
        </w:tc>
        <w:tc>
          <w:tcPr>
            <w:tcW w:w="924" w:type="dxa"/>
            <w:shd w:val="clear" w:color="auto" w:fill="auto"/>
            <w:vAlign w:val="center"/>
          </w:tcPr>
          <w:p w14:paraId="653BC776">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室外双频AP（不含光模块）</w:t>
            </w:r>
          </w:p>
        </w:tc>
        <w:tc>
          <w:tcPr>
            <w:tcW w:w="4430" w:type="dxa"/>
            <w:shd w:val="clear" w:color="auto" w:fill="auto"/>
            <w:vAlign w:val="center"/>
          </w:tcPr>
          <w:p w14:paraId="6ABCC20F">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电源要求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支持POE方式供电</w:t>
            </w:r>
            <w:r>
              <w:rPr>
                <w:rFonts w:hint="eastAsia" w:ascii="宋体" w:hAnsi="宋体" w:eastAsia="宋体" w:cs="宋体"/>
                <w:sz w:val="24"/>
                <w:szCs w:val="24"/>
                <w:highlight w:val="none"/>
                <w:lang w:eastAsia="zh-CN"/>
              </w:rPr>
              <w:t>；</w:t>
            </w:r>
          </w:p>
          <w:p w14:paraId="2F85CC41">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工作射频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为保证整机接入用户数，要求采用双频设计，可同时工作在802.11a/b/g/n/ac/ac wave2/ax等模式</w:t>
            </w:r>
            <w:r>
              <w:rPr>
                <w:rFonts w:hint="eastAsia" w:ascii="宋体" w:hAnsi="宋体" w:eastAsia="宋体" w:cs="宋体"/>
                <w:sz w:val="24"/>
                <w:szCs w:val="24"/>
                <w:highlight w:val="none"/>
                <w:lang w:eastAsia="zh-CN"/>
              </w:rPr>
              <w:t>；</w:t>
            </w:r>
          </w:p>
          <w:p w14:paraId="431C098A">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协商速率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整机协商速率≥1.166Gbps</w:t>
            </w:r>
            <w:r>
              <w:rPr>
                <w:rFonts w:hint="eastAsia" w:ascii="宋体" w:hAnsi="宋体" w:eastAsia="宋体" w:cs="宋体"/>
                <w:sz w:val="24"/>
                <w:szCs w:val="24"/>
                <w:highlight w:val="none"/>
                <w:lang w:eastAsia="zh-CN"/>
              </w:rPr>
              <w:t>；</w:t>
            </w:r>
          </w:p>
          <w:p w14:paraId="4D9B96C4">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千兆以太网接口数量≥1，千兆单模光口接口数量≥1</w:t>
            </w:r>
            <w:r>
              <w:rPr>
                <w:rFonts w:hint="eastAsia" w:ascii="宋体" w:hAnsi="宋体" w:eastAsia="宋体" w:cs="宋体"/>
                <w:sz w:val="24"/>
                <w:szCs w:val="24"/>
                <w:highlight w:val="none"/>
                <w:lang w:eastAsia="zh-CN"/>
              </w:rPr>
              <w:t>；</w:t>
            </w:r>
          </w:p>
          <w:p w14:paraId="6420CB46">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接口配置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配置2个千兆以太网接口模块</w:t>
            </w:r>
            <w:r>
              <w:rPr>
                <w:rFonts w:hint="eastAsia" w:ascii="宋体" w:hAnsi="宋体" w:eastAsia="宋体" w:cs="宋体"/>
                <w:sz w:val="24"/>
                <w:szCs w:val="24"/>
                <w:highlight w:val="none"/>
                <w:lang w:eastAsia="zh-CN"/>
              </w:rPr>
              <w:t>；</w:t>
            </w:r>
          </w:p>
          <w:p w14:paraId="66BD5A99">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天线设计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内置智能全向或定向天线，可外置全向或定向天线，满足现场全向天线或定向天线应用需求</w:t>
            </w:r>
            <w:r>
              <w:rPr>
                <w:rFonts w:hint="eastAsia" w:ascii="宋体" w:hAnsi="宋体" w:eastAsia="宋体" w:cs="宋体"/>
                <w:sz w:val="24"/>
                <w:szCs w:val="24"/>
                <w:highlight w:val="none"/>
                <w:lang w:eastAsia="zh-CN"/>
              </w:rPr>
              <w:t>；</w:t>
            </w:r>
          </w:p>
          <w:p w14:paraId="4DAB2E79">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防雷要求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配置天馈线防雷模块，满足GB 50343《建筑物电子信息系统防雷技术规范》要求</w:t>
            </w:r>
            <w:r>
              <w:rPr>
                <w:rFonts w:hint="eastAsia" w:ascii="宋体" w:hAnsi="宋体" w:eastAsia="宋体" w:cs="宋体"/>
                <w:sz w:val="24"/>
                <w:szCs w:val="24"/>
                <w:highlight w:val="none"/>
                <w:lang w:eastAsia="zh-CN"/>
              </w:rPr>
              <w:t>；</w:t>
            </w:r>
          </w:p>
          <w:p w14:paraId="236E4C30">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接入规格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整机接入用户规格≥512</w:t>
            </w:r>
            <w:r>
              <w:rPr>
                <w:rFonts w:hint="eastAsia" w:ascii="宋体" w:hAnsi="宋体" w:eastAsia="宋体" w:cs="宋体"/>
                <w:sz w:val="24"/>
                <w:szCs w:val="24"/>
                <w:highlight w:val="none"/>
                <w:lang w:eastAsia="zh-CN"/>
              </w:rPr>
              <w:t>；</w:t>
            </w:r>
          </w:p>
          <w:p w14:paraId="3F5FF716">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认证特性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支持WAPI认证、MAC 地址认证、Portal认证、MAC+Protal混合认证和符合GB/T 15629.3等相关国家标准要求的认证方法</w:t>
            </w:r>
            <w:r>
              <w:rPr>
                <w:rFonts w:hint="eastAsia" w:ascii="宋体" w:hAnsi="宋体" w:eastAsia="宋体" w:cs="宋体"/>
                <w:sz w:val="24"/>
                <w:szCs w:val="24"/>
                <w:highlight w:val="none"/>
                <w:lang w:eastAsia="zh-CN"/>
              </w:rPr>
              <w:t>；</w:t>
            </w:r>
          </w:p>
          <w:p w14:paraId="00F0CCDA">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空口要求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要求SSID数≥16、SSID 配置 VLAN、SSID 内终端隔离、信号强度检测门阀、5G 优先、发射功率调整、QoS 功能、支持SSID隐藏等功能</w:t>
            </w:r>
            <w:r>
              <w:rPr>
                <w:rFonts w:hint="eastAsia" w:ascii="宋体" w:hAnsi="宋体" w:eastAsia="宋体" w:cs="宋体"/>
                <w:sz w:val="24"/>
                <w:szCs w:val="24"/>
                <w:highlight w:val="none"/>
                <w:lang w:eastAsia="zh-CN"/>
              </w:rPr>
              <w:t>；</w:t>
            </w:r>
          </w:p>
          <w:p w14:paraId="349241AD">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防护等级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设备支持IP68防护级别</w:t>
            </w:r>
            <w:r>
              <w:rPr>
                <w:rFonts w:hint="eastAsia" w:ascii="宋体" w:hAnsi="宋体" w:eastAsia="宋体" w:cs="宋体"/>
                <w:sz w:val="24"/>
                <w:szCs w:val="24"/>
                <w:highlight w:val="none"/>
                <w:lang w:eastAsia="zh-CN"/>
              </w:rPr>
              <w:t>；</w:t>
            </w:r>
          </w:p>
          <w:p w14:paraId="45E59872">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工作温度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室外型工作温度支持-40ºC～65ºC</w:t>
            </w:r>
            <w:r>
              <w:rPr>
                <w:rFonts w:hint="eastAsia" w:ascii="宋体" w:hAnsi="宋体" w:eastAsia="宋体" w:cs="宋体"/>
                <w:sz w:val="24"/>
                <w:szCs w:val="24"/>
                <w:highlight w:val="none"/>
                <w:lang w:eastAsia="zh-CN"/>
              </w:rPr>
              <w:t>；</w:t>
            </w:r>
          </w:p>
          <w:p w14:paraId="79BABD7B">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远程控制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支持远程复位重启置，支持使能或禁用无线网络</w:t>
            </w:r>
            <w:r>
              <w:rPr>
                <w:rFonts w:hint="eastAsia" w:ascii="宋体" w:hAnsi="宋体" w:eastAsia="宋体" w:cs="宋体"/>
                <w:sz w:val="24"/>
                <w:szCs w:val="24"/>
                <w:highlight w:val="none"/>
                <w:lang w:eastAsia="zh-CN"/>
              </w:rPr>
              <w:t>；</w:t>
            </w:r>
          </w:p>
          <w:p w14:paraId="3AFF493C">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逃生功能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本地转发模式下，支持AP逃生功能，当CAPWAP隧道中断，已在线终端不掉线，业务不中断</w:t>
            </w:r>
            <w:r>
              <w:rPr>
                <w:rFonts w:hint="eastAsia" w:ascii="宋体" w:hAnsi="宋体" w:eastAsia="宋体" w:cs="宋体"/>
                <w:sz w:val="24"/>
                <w:szCs w:val="24"/>
                <w:highlight w:val="none"/>
                <w:lang w:eastAsia="zh-CN"/>
              </w:rPr>
              <w:t>；</w:t>
            </w:r>
          </w:p>
          <w:p w14:paraId="185FF1E8">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漫游功能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支持无线漫游，用户在同一控制器下终端之间切换保证用户业务不中断，丢包率不大于3%</w:t>
            </w:r>
            <w:r>
              <w:rPr>
                <w:rFonts w:hint="eastAsia" w:ascii="宋体" w:hAnsi="宋体" w:eastAsia="宋体" w:cs="宋体"/>
                <w:sz w:val="24"/>
                <w:szCs w:val="24"/>
                <w:highlight w:val="none"/>
                <w:lang w:eastAsia="zh-CN"/>
              </w:rPr>
              <w:t>；</w:t>
            </w:r>
          </w:p>
          <w:p w14:paraId="7CD0CBD0">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配置与升级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支持远程复位重启、恢复出厂设置，支持使能或禁用无线网络，支持远程网络诊断；支持批量配置和单独进行配置；支持批量化固件升级和单独固件升级</w:t>
            </w:r>
            <w:r>
              <w:rPr>
                <w:rFonts w:hint="eastAsia" w:ascii="宋体" w:hAnsi="宋体" w:eastAsia="宋体" w:cs="宋体"/>
                <w:sz w:val="24"/>
                <w:szCs w:val="24"/>
                <w:highlight w:val="none"/>
                <w:lang w:eastAsia="zh-CN"/>
              </w:rPr>
              <w:t>；</w:t>
            </w:r>
          </w:p>
          <w:p w14:paraId="46094D8C">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网络管理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支持第三方综合网管对终端的配置和管理，对终端参数信息的配置，主要包括：黑白名单、优先级、射频配置、信道选择等功能</w:t>
            </w:r>
            <w:r>
              <w:rPr>
                <w:rFonts w:hint="eastAsia" w:ascii="宋体" w:hAnsi="宋体" w:eastAsia="宋体" w:cs="宋体"/>
                <w:sz w:val="24"/>
                <w:szCs w:val="24"/>
                <w:highlight w:val="none"/>
                <w:lang w:eastAsia="zh-CN"/>
              </w:rPr>
              <w:t>；</w:t>
            </w:r>
          </w:p>
          <w:p w14:paraId="40CB65B2">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安装方式：</w:t>
            </w:r>
            <w:r>
              <w:rPr>
                <w:rFonts w:hint="eastAsia" w:ascii="宋体" w:hAnsi="宋体" w:eastAsia="宋体" w:cs="宋体"/>
                <w:sz w:val="24"/>
                <w:szCs w:val="24"/>
                <w:highlight w:val="none"/>
              </w:rPr>
              <w:t>支持壁挂和抱杆等安装方式</w:t>
            </w:r>
            <w:r>
              <w:rPr>
                <w:rFonts w:hint="eastAsia" w:ascii="宋体" w:hAnsi="宋体" w:eastAsia="宋体" w:cs="宋体"/>
                <w:sz w:val="24"/>
                <w:szCs w:val="24"/>
                <w:highlight w:val="none"/>
                <w:lang w:eastAsia="zh-CN"/>
              </w:rPr>
              <w:t>。</w:t>
            </w:r>
          </w:p>
        </w:tc>
        <w:tc>
          <w:tcPr>
            <w:tcW w:w="793" w:type="dxa"/>
            <w:shd w:val="clear" w:color="auto" w:fill="auto"/>
            <w:vAlign w:val="center"/>
          </w:tcPr>
          <w:p w14:paraId="5FD1D9C1">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台</w:t>
            </w:r>
          </w:p>
        </w:tc>
        <w:tc>
          <w:tcPr>
            <w:tcW w:w="809" w:type="dxa"/>
            <w:shd w:val="clear" w:color="auto" w:fill="auto"/>
            <w:vAlign w:val="center"/>
          </w:tcPr>
          <w:p w14:paraId="7B1334D0">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1286</w:t>
            </w:r>
          </w:p>
        </w:tc>
        <w:tc>
          <w:tcPr>
            <w:tcW w:w="921" w:type="dxa"/>
            <w:shd w:val="clear" w:color="auto" w:fill="auto"/>
            <w:vAlign w:val="center"/>
          </w:tcPr>
          <w:p w14:paraId="5814316A">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136" w:type="dxa"/>
            <w:vAlign w:val="center"/>
          </w:tcPr>
          <w:p w14:paraId="4FB7F463">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1071" w:type="dxa"/>
            <w:shd w:val="clear" w:color="auto" w:fill="auto"/>
            <w:vAlign w:val="center"/>
          </w:tcPr>
          <w:p w14:paraId="7DB2FBB7">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715" w:type="dxa"/>
            <w:vMerge w:val="continue"/>
            <w:shd w:val="clear" w:color="auto" w:fill="auto"/>
            <w:vAlign w:val="center"/>
          </w:tcPr>
          <w:p w14:paraId="13562D9C">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4" w:type="dxa"/>
            <w:vMerge w:val="continue"/>
            <w:shd w:val="clear" w:color="auto" w:fill="auto"/>
            <w:vAlign w:val="center"/>
          </w:tcPr>
          <w:p w14:paraId="401FF22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99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7" w:type="dxa"/>
            <w:vMerge w:val="continue"/>
            <w:vAlign w:val="center"/>
          </w:tcPr>
          <w:p w14:paraId="2DD697EC">
            <w:pPr>
              <w:widowControl/>
              <w:jc w:val="center"/>
              <w:rPr>
                <w:rFonts w:hint="eastAsia" w:ascii="宋体" w:hAnsi="宋体" w:eastAsia="宋体" w:cs="宋体"/>
                <w:b/>
                <w:bCs/>
                <w:kern w:val="0"/>
                <w:sz w:val="24"/>
                <w:szCs w:val="24"/>
                <w:highlight w:val="none"/>
              </w:rPr>
            </w:pPr>
          </w:p>
        </w:tc>
        <w:tc>
          <w:tcPr>
            <w:tcW w:w="924" w:type="dxa"/>
            <w:shd w:val="clear" w:color="auto" w:fill="auto"/>
            <w:vAlign w:val="center"/>
          </w:tcPr>
          <w:p w14:paraId="54183AE2">
            <w:pPr>
              <w:pStyle w:val="15"/>
              <w:tabs>
                <w:tab w:val="left" w:pos="1620"/>
                <w:tab w:val="left" w:pos="7200"/>
              </w:tabs>
              <w:snapToGrid w:val="0"/>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光模块</w:t>
            </w:r>
          </w:p>
        </w:tc>
        <w:tc>
          <w:tcPr>
            <w:tcW w:w="4430" w:type="dxa"/>
            <w:shd w:val="clear" w:color="auto" w:fill="auto"/>
            <w:vAlign w:val="center"/>
          </w:tcPr>
          <w:p w14:paraId="1A809828">
            <w:pPr>
              <w:pStyle w:val="15"/>
              <w:numPr>
                <w:ilvl w:val="0"/>
                <w:numId w:val="0"/>
              </w:numPr>
              <w:tabs>
                <w:tab w:val="left" w:pos="1620"/>
                <w:tab w:val="left" w:pos="7200"/>
              </w:tabs>
              <w:snapToGrid w:val="0"/>
              <w:spacing w:before="0" w:after="0" w:line="240" w:lineRule="auto"/>
              <w:ind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工业级SFP</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千兆单模光模块1310nm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最大传输距离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20km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接头类型：LC</w:t>
            </w:r>
            <w:r>
              <w:rPr>
                <w:rFonts w:hint="eastAsia" w:ascii="宋体" w:hAnsi="宋体" w:eastAsia="宋体" w:cs="宋体"/>
                <w:sz w:val="24"/>
                <w:szCs w:val="24"/>
                <w:highlight w:val="none"/>
                <w:lang w:eastAsia="zh-CN"/>
              </w:rPr>
              <w:t>。</w:t>
            </w:r>
          </w:p>
        </w:tc>
        <w:tc>
          <w:tcPr>
            <w:tcW w:w="793" w:type="dxa"/>
            <w:shd w:val="clear" w:color="auto" w:fill="auto"/>
            <w:vAlign w:val="center"/>
          </w:tcPr>
          <w:p w14:paraId="400D0F8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个</w:t>
            </w:r>
          </w:p>
        </w:tc>
        <w:tc>
          <w:tcPr>
            <w:tcW w:w="809" w:type="dxa"/>
            <w:shd w:val="clear" w:color="auto" w:fill="auto"/>
            <w:vAlign w:val="center"/>
          </w:tcPr>
          <w:p w14:paraId="0C433857">
            <w:pPr>
              <w:keepNext w:val="0"/>
              <w:keepLines w:val="0"/>
              <w:widowControl/>
              <w:suppressLineNumbers w:val="0"/>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210</w:t>
            </w:r>
          </w:p>
        </w:tc>
        <w:tc>
          <w:tcPr>
            <w:tcW w:w="921" w:type="dxa"/>
            <w:shd w:val="clear" w:color="auto" w:fill="auto"/>
            <w:vAlign w:val="center"/>
          </w:tcPr>
          <w:p w14:paraId="531FEE8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日内</w:t>
            </w:r>
          </w:p>
        </w:tc>
        <w:tc>
          <w:tcPr>
            <w:tcW w:w="1136" w:type="dxa"/>
            <w:vAlign w:val="center"/>
          </w:tcPr>
          <w:p w14:paraId="2D3960B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36</w:t>
            </w:r>
            <w:r>
              <w:rPr>
                <w:rFonts w:hint="eastAsia" w:ascii="宋体" w:hAnsi="宋体" w:eastAsia="宋体" w:cs="宋体"/>
                <w:kern w:val="0"/>
                <w:sz w:val="24"/>
                <w:szCs w:val="24"/>
                <w:highlight w:val="none"/>
              </w:rPr>
              <w:t>个月</w:t>
            </w:r>
          </w:p>
        </w:tc>
        <w:tc>
          <w:tcPr>
            <w:tcW w:w="1071" w:type="dxa"/>
            <w:shd w:val="clear" w:color="auto" w:fill="auto"/>
            <w:vAlign w:val="center"/>
          </w:tcPr>
          <w:p w14:paraId="2CF3240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1715" w:type="dxa"/>
            <w:vMerge w:val="continue"/>
            <w:shd w:val="clear" w:color="auto" w:fill="auto"/>
            <w:vAlign w:val="center"/>
          </w:tcPr>
          <w:p w14:paraId="3B474B03">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4" w:type="dxa"/>
            <w:vMerge w:val="continue"/>
            <w:shd w:val="clear" w:color="auto" w:fill="auto"/>
            <w:vAlign w:val="center"/>
          </w:tcPr>
          <w:p w14:paraId="0A94D88A">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5BD87F9">
      <w:pPr>
        <w:pStyle w:val="16"/>
        <w:ind w:left="-357" w:leftChars="-170" w:firstLine="44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具体供货不局限于上述产品。应包括上述产品相关配件，类似升级产品。</w:t>
      </w:r>
    </w:p>
    <w:p w14:paraId="6F536563">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6E0B28C4">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0A19ADD3">
      <w:pPr>
        <w:shd w:val="clear"/>
        <w:spacing w:line="240" w:lineRule="auto"/>
        <w:rPr>
          <w:rFonts w:hint="eastAsia" w:ascii="宋体" w:hAnsi="宋体" w:eastAsia="宋体" w:cs="宋体"/>
          <w:color w:val="000000"/>
          <w:sz w:val="24"/>
          <w:szCs w:val="24"/>
          <w:highlight w:val="none"/>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85A9EB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D81E">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A5F58">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7A5F58">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B520B93">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B520B93">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98B15F1"/>
    <w:rsid w:val="0A8B5858"/>
    <w:rsid w:val="0C9566ED"/>
    <w:rsid w:val="10C017AC"/>
    <w:rsid w:val="11EF4173"/>
    <w:rsid w:val="12061A50"/>
    <w:rsid w:val="16267F4A"/>
    <w:rsid w:val="17252504"/>
    <w:rsid w:val="17832749"/>
    <w:rsid w:val="188E6C44"/>
    <w:rsid w:val="18E776A7"/>
    <w:rsid w:val="22BC120E"/>
    <w:rsid w:val="22F71DBE"/>
    <w:rsid w:val="26BD5819"/>
    <w:rsid w:val="28455ABC"/>
    <w:rsid w:val="2EBF6414"/>
    <w:rsid w:val="358359CD"/>
    <w:rsid w:val="3A2F2590"/>
    <w:rsid w:val="42CE694E"/>
    <w:rsid w:val="4AA15384"/>
    <w:rsid w:val="4ABD7A75"/>
    <w:rsid w:val="4D2E620D"/>
    <w:rsid w:val="4F403134"/>
    <w:rsid w:val="50E64EAF"/>
    <w:rsid w:val="50EC207F"/>
    <w:rsid w:val="511E0452"/>
    <w:rsid w:val="51340035"/>
    <w:rsid w:val="516A3318"/>
    <w:rsid w:val="5C03198F"/>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样式3"/>
    <w:basedOn w:val="1"/>
    <w:autoRedefine/>
    <w:qFormat/>
    <w:uiPriority w:val="0"/>
    <w:pPr>
      <w:adjustRightInd w:val="0"/>
      <w:spacing w:before="330" w:after="160" w:line="490" w:lineRule="exact"/>
    </w:pPr>
    <w:rPr>
      <w:rFonts w:ascii="Arial" w:hAnsi="Arial" w:eastAsia="黑体"/>
      <w:sz w:val="2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6640</Words>
  <Characters>7400</Characters>
  <Lines>0</Lines>
  <Paragraphs>0</Paragraphs>
  <TotalTime>0</TotalTime>
  <ScaleCrop>false</ScaleCrop>
  <LinksUpToDate>false</LinksUpToDate>
  <CharactersWithSpaces>7441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2025-06-17T09:20:29Z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7C68D0C46A8D487E9DF2FBDAE5FB4B36_13</vt:lpwstr>
  </property>
  <property fmtid="{D5CDD505-2E9C-101B-9397-08002B2CF9AE}" pid="4" name="KSOTemplateDocerSaveRecord">
    <vt:lpwstr>eyJoZGlkIjoiNzcwY2M5NGVmY2Y5YTVkMTJmMzEwY2NlODY1MmIwYTMiLCJ1c2VySWQiOiI5NjA4MzkzNTgifQ==</vt:lpwstr>
  </property>
</Properties>
</file>