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98284">
      <w:pPr>
        <w:adjustRightInd w:val="0"/>
        <w:snapToGrid w:val="0"/>
        <w:spacing w:beforeLines="100" w:afterLines="50" w:line="400" w:lineRule="exact"/>
        <w:outlineLvl w:val="1"/>
        <w:rPr>
          <w:rFonts w:hint="eastAsia" w:ascii="宋体" w:hAnsi="宋体" w:eastAsia="宋体" w:cs="宋体"/>
          <w:b/>
          <w:bCs/>
          <w:color w:val="auto"/>
          <w:kern w:val="0"/>
          <w:sz w:val="24"/>
          <w:szCs w:val="24"/>
          <w:highlight w:val="none"/>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211"/>
        <w:gridCol w:w="4680"/>
        <w:gridCol w:w="832"/>
        <w:gridCol w:w="831"/>
        <w:gridCol w:w="1205"/>
        <w:gridCol w:w="1005"/>
        <w:gridCol w:w="839"/>
        <w:gridCol w:w="1869"/>
      </w:tblGrid>
      <w:tr w14:paraId="2EEF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AE9E2D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11" w:type="dxa"/>
            <w:shd w:val="clear" w:color="auto" w:fill="auto"/>
            <w:vAlign w:val="center"/>
          </w:tcPr>
          <w:p w14:paraId="027C7B8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物资名称</w:t>
            </w:r>
          </w:p>
        </w:tc>
        <w:tc>
          <w:tcPr>
            <w:tcW w:w="4680" w:type="dxa"/>
            <w:shd w:val="clear" w:color="auto" w:fill="auto"/>
            <w:vAlign w:val="center"/>
          </w:tcPr>
          <w:p w14:paraId="7B70237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主要技术要求</w:t>
            </w:r>
          </w:p>
        </w:tc>
        <w:tc>
          <w:tcPr>
            <w:tcW w:w="832" w:type="dxa"/>
            <w:shd w:val="clear" w:color="auto" w:fill="auto"/>
            <w:vAlign w:val="center"/>
          </w:tcPr>
          <w:p w14:paraId="42A4BCB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831" w:type="dxa"/>
            <w:shd w:val="clear" w:color="auto" w:fill="auto"/>
            <w:vAlign w:val="center"/>
          </w:tcPr>
          <w:p w14:paraId="4E0D22C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205" w:type="dxa"/>
            <w:shd w:val="clear" w:color="auto" w:fill="auto"/>
            <w:vAlign w:val="center"/>
          </w:tcPr>
          <w:p w14:paraId="2C3DB948">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交货日期</w:t>
            </w:r>
          </w:p>
        </w:tc>
        <w:tc>
          <w:tcPr>
            <w:tcW w:w="1005" w:type="dxa"/>
            <w:vAlign w:val="center"/>
          </w:tcPr>
          <w:p w14:paraId="1B3EFC1D">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质保期（不低于）</w:t>
            </w:r>
          </w:p>
        </w:tc>
        <w:tc>
          <w:tcPr>
            <w:tcW w:w="839" w:type="dxa"/>
            <w:shd w:val="clear" w:color="auto" w:fill="auto"/>
            <w:vAlign w:val="center"/>
          </w:tcPr>
          <w:p w14:paraId="16C97BF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交货地点</w:t>
            </w:r>
          </w:p>
        </w:tc>
        <w:tc>
          <w:tcPr>
            <w:tcW w:w="1869" w:type="dxa"/>
            <w:shd w:val="clear" w:color="auto" w:fill="auto"/>
            <w:vAlign w:val="center"/>
          </w:tcPr>
          <w:p w14:paraId="1D1C854F">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专用业绩要求</w:t>
            </w:r>
          </w:p>
        </w:tc>
      </w:tr>
      <w:tr w14:paraId="33ED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vAlign w:val="center"/>
          </w:tcPr>
          <w:p w14:paraId="1FAA00D6">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rPr>
              <w:t>行走组件、除冰组件等采购项目</w:t>
            </w:r>
          </w:p>
        </w:tc>
        <w:tc>
          <w:tcPr>
            <w:tcW w:w="1211" w:type="dxa"/>
            <w:shd w:val="clear" w:color="auto" w:fill="auto"/>
            <w:vAlign w:val="center"/>
          </w:tcPr>
          <w:p w14:paraId="76B0C883">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行走组件</w:t>
            </w:r>
          </w:p>
        </w:tc>
        <w:tc>
          <w:tcPr>
            <w:tcW w:w="4680" w:type="dxa"/>
            <w:shd w:val="clear" w:color="auto" w:fill="auto"/>
            <w:vAlign w:val="center"/>
          </w:tcPr>
          <w:p w14:paraId="6E87F369">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性能指标</w:t>
            </w:r>
          </w:p>
          <w:p w14:paraId="3ECEAC18">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移动速度：≥0.5 m/s（-40℃环境下）</w:t>
            </w:r>
          </w:p>
          <w:p w14:paraId="3A840152">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越障能力：可跨越高度≥5 cm的障碍物</w:t>
            </w:r>
          </w:p>
          <w:p w14:paraId="0EA6BEA5">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续航时间：单次充电续航≥4小时</w:t>
            </w:r>
          </w:p>
          <w:p w14:paraId="0BF9EEF7">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坡度适应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≥45°</w:t>
            </w:r>
          </w:p>
          <w:p w14:paraId="4044F7EF">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导航精度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±10mm（RTK+IMU）</w:t>
            </w:r>
          </w:p>
          <w:p w14:paraId="018F9D01">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硬件参数</w:t>
            </w:r>
          </w:p>
          <w:p w14:paraId="6515A691">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驱动方式：双电机独立驱动，支持差速转向轮系材质：耐低温橡胶复合材料（-40℃不脆裂）</w:t>
            </w:r>
          </w:p>
          <w:p w14:paraId="7572BC7A">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承重能力：≥20 kg（含除冰组件重量）</w:t>
            </w:r>
          </w:p>
          <w:p w14:paraId="23488DDE">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环境适应性</w:t>
            </w:r>
          </w:p>
          <w:p w14:paraId="5CDB644D">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工作温度：-40℃~+50℃</w:t>
            </w:r>
          </w:p>
          <w:p w14:paraId="0B9DB68F">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防滑设计：轮面纹理深度≥2 mm，摩擦系数≥0.8</w:t>
            </w:r>
          </w:p>
          <w:p w14:paraId="355152DD">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4.符合GB/T 3811-2008抗风载要求</w:t>
            </w:r>
          </w:p>
        </w:tc>
        <w:tc>
          <w:tcPr>
            <w:tcW w:w="832" w:type="dxa"/>
            <w:shd w:val="clear" w:color="auto" w:fill="auto"/>
            <w:vAlign w:val="center"/>
          </w:tcPr>
          <w:p w14:paraId="697C21F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31" w:type="dxa"/>
            <w:shd w:val="clear" w:color="auto" w:fill="auto"/>
            <w:vAlign w:val="center"/>
          </w:tcPr>
          <w:p w14:paraId="0067D053">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05" w:type="dxa"/>
            <w:shd w:val="clear" w:color="auto" w:fill="auto"/>
            <w:vAlign w:val="center"/>
          </w:tcPr>
          <w:p w14:paraId="2CCC324D">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1005" w:type="dxa"/>
            <w:vAlign w:val="center"/>
          </w:tcPr>
          <w:p w14:paraId="0D8CFD17">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39" w:type="dxa"/>
            <w:shd w:val="clear" w:color="auto" w:fill="auto"/>
            <w:vAlign w:val="center"/>
          </w:tcPr>
          <w:p w14:paraId="0107F941">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restart"/>
            <w:shd w:val="clear" w:color="auto" w:fill="auto"/>
            <w:vAlign w:val="center"/>
          </w:tcPr>
          <w:p w14:paraId="33A64DE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w:t>
            </w:r>
            <w:r>
              <w:rPr>
                <w:rFonts w:hint="eastAsia" w:ascii="宋体" w:hAnsi="宋体" w:eastAsia="宋体" w:cs="宋体"/>
                <w:color w:val="auto"/>
                <w:kern w:val="0"/>
                <w:sz w:val="24"/>
                <w:szCs w:val="24"/>
                <w:highlight w:val="none"/>
                <w:lang w:val="en-US" w:eastAsia="zh-CN"/>
              </w:rPr>
              <w:t>投标方</w:t>
            </w:r>
            <w:r>
              <w:rPr>
                <w:rFonts w:hint="eastAsia" w:ascii="宋体" w:hAnsi="宋体" w:eastAsia="宋体" w:cs="宋体"/>
                <w:color w:val="auto"/>
                <w:kern w:val="0"/>
                <w:sz w:val="24"/>
                <w:szCs w:val="24"/>
                <w:highlight w:val="none"/>
              </w:rPr>
              <w:t>完成过</w:t>
            </w:r>
            <w:r>
              <w:rPr>
                <w:rFonts w:hint="eastAsia" w:ascii="宋体" w:hAnsi="宋体" w:eastAsia="宋体" w:cs="宋体"/>
                <w:color w:val="auto"/>
                <w:kern w:val="0"/>
                <w:sz w:val="24"/>
                <w:szCs w:val="24"/>
                <w:highlight w:val="none"/>
                <w:lang w:val="en-US" w:eastAsia="zh-CN"/>
              </w:rPr>
              <w:t>机器人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val="en-US" w:eastAsia="zh-CN"/>
              </w:rPr>
              <w:t>组部件（包含运动组件或除冰组件）</w:t>
            </w:r>
            <w:r>
              <w:rPr>
                <w:rFonts w:hint="eastAsia" w:ascii="宋体" w:hAnsi="宋体" w:eastAsia="宋体" w:cs="宋体"/>
                <w:color w:val="auto"/>
                <w:kern w:val="0"/>
                <w:sz w:val="24"/>
                <w:szCs w:val="24"/>
                <w:highlight w:val="none"/>
              </w:rPr>
              <w:t>销售</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rPr>
              <w:t>不少于2份，合同额累计不少于</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万。</w:t>
            </w:r>
            <w:r>
              <w:rPr>
                <w:rFonts w:hint="eastAsia" w:ascii="宋体" w:hAnsi="宋体" w:eastAsia="宋体" w:cs="宋体"/>
                <w:color w:val="000000" w:themeColor="text1"/>
                <w:kern w:val="0"/>
                <w:sz w:val="24"/>
                <w:szCs w:val="24"/>
                <w:lang w:val="en-US" w:eastAsia="zh-CN"/>
                <w14:textFill>
                  <w14:solidFill>
                    <w14:schemeClr w14:val="tx1"/>
                  </w14:solidFill>
                </w14:textFill>
              </w:rPr>
              <w:t>注:业绩必须提供对应的合同复印件、发票和相应查验截图。</w:t>
            </w:r>
          </w:p>
        </w:tc>
      </w:tr>
      <w:tr w14:paraId="3AE6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center"/>
          </w:tcPr>
          <w:p w14:paraId="5AC05A76">
            <w:pPr>
              <w:widowControl/>
              <w:jc w:val="center"/>
              <w:rPr>
                <w:rFonts w:hint="eastAsia" w:ascii="宋体" w:hAnsi="宋体" w:eastAsia="宋体" w:cs="宋体"/>
                <w:color w:val="000000"/>
                <w:kern w:val="0"/>
                <w:sz w:val="24"/>
                <w:szCs w:val="24"/>
                <w:highlight w:val="none"/>
                <w:lang w:bidi="ar"/>
              </w:rPr>
            </w:pPr>
          </w:p>
        </w:tc>
        <w:tc>
          <w:tcPr>
            <w:tcW w:w="1211" w:type="dxa"/>
            <w:shd w:val="clear" w:color="auto" w:fill="auto"/>
            <w:vAlign w:val="center"/>
          </w:tcPr>
          <w:p w14:paraId="5B6C280F">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涂料供应组件</w:t>
            </w:r>
          </w:p>
          <w:p w14:paraId="1709B20B">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rPr>
            </w:pPr>
          </w:p>
        </w:tc>
        <w:tc>
          <w:tcPr>
            <w:tcW w:w="4680" w:type="dxa"/>
            <w:shd w:val="clear" w:color="auto" w:fill="auto"/>
            <w:vAlign w:val="center"/>
          </w:tcPr>
          <w:p w14:paraId="7BD900A6">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储料系统</w:t>
            </w:r>
          </w:p>
          <w:p w14:paraId="60567987">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储料罐容量：≥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 L（带加热）</w:t>
            </w:r>
          </w:p>
          <w:p w14:paraId="5B64775B">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材质：聚乙烯防腐内衬，耐低温（-40℃）2. 输送系统</w:t>
            </w:r>
          </w:p>
          <w:p w14:paraId="39394D6F">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流量控制</w:t>
            </w:r>
            <w:r>
              <w:rPr>
                <w:rFonts w:hint="eastAsia" w:ascii="宋体" w:hAnsi="宋体" w:eastAsia="宋体" w:cs="宋体"/>
                <w:sz w:val="24"/>
                <w:szCs w:val="24"/>
                <w:highlight w:val="none"/>
                <w:lang w:val="en-US" w:eastAsia="zh-CN"/>
              </w:rPr>
              <w:t>精度</w:t>
            </w:r>
            <w:r>
              <w:rPr>
                <w:rFonts w:hint="eastAsia" w:ascii="宋体" w:hAnsi="宋体" w:eastAsia="宋体" w:cs="宋体"/>
                <w:sz w:val="24"/>
                <w:szCs w:val="24"/>
                <w:highlight w:val="none"/>
              </w:rPr>
              <w:t>：±1.2%（0.1~5L/min动态范围），具备PID闭环控制算法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HG/T 3668-2020</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lang w:eastAsia="zh-CN"/>
              </w:rPr>
              <w:t>）</w:t>
            </w:r>
          </w:p>
          <w:p w14:paraId="36BE54C5">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喷头类型：扇形喷雾，覆盖宽度≥0.5 m</w:t>
            </w:r>
          </w:p>
          <w:p w14:paraId="7912FF03">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功能要求</w:t>
            </w:r>
          </w:p>
          <w:p w14:paraId="3C8DFE34">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防腐蚀设计：接触部件采用316不锈钢</w:t>
            </w:r>
          </w:p>
          <w:p w14:paraId="2F29F416">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低温流动性：阻冰剂在-30℃时仍可泵送</w:t>
            </w:r>
          </w:p>
          <w:p w14:paraId="72040243">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耐压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工作压力≥1.5MPa，爆破压力≥3.0MPa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GB/T 1048-2019</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lang w:eastAsia="zh-CN"/>
              </w:rPr>
              <w:t>）</w:t>
            </w:r>
          </w:p>
          <w:p w14:paraId="360ADB23">
            <w:pPr>
              <w:pStyle w:val="12"/>
              <w:tabs>
                <w:tab w:val="left" w:pos="1620"/>
                <w:tab w:val="left" w:pos="7200"/>
              </w:tabs>
              <w:snapToGrid w:val="0"/>
              <w:spacing w:before="0"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温度适应性：</w:t>
            </w:r>
            <w:r>
              <w:rPr>
                <w:rFonts w:hint="eastAsia" w:ascii="宋体" w:hAnsi="宋体" w:eastAsia="宋体" w:cs="宋体"/>
                <w:sz w:val="24"/>
                <w:szCs w:val="24"/>
                <w:highlight w:val="none"/>
              </w:rPr>
              <w:t>-40℃~+80℃连续工作，阻冰剂粘度波动≤5%（-20℃测试）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GB/T 10247-2008</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lang w:eastAsia="zh-CN"/>
              </w:rPr>
              <w:t>）</w:t>
            </w:r>
          </w:p>
          <w:p w14:paraId="6EAC62B0">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符合HG/T 3668-2020标准</w:t>
            </w:r>
          </w:p>
        </w:tc>
        <w:tc>
          <w:tcPr>
            <w:tcW w:w="832" w:type="dxa"/>
            <w:shd w:val="clear" w:color="auto" w:fill="auto"/>
            <w:vAlign w:val="center"/>
          </w:tcPr>
          <w:p w14:paraId="3F3D8090">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套</w:t>
            </w:r>
          </w:p>
        </w:tc>
        <w:tc>
          <w:tcPr>
            <w:tcW w:w="831" w:type="dxa"/>
            <w:shd w:val="clear" w:color="auto" w:fill="auto"/>
            <w:vAlign w:val="center"/>
          </w:tcPr>
          <w:p w14:paraId="4DF38023">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05" w:type="dxa"/>
            <w:shd w:val="clear" w:color="auto" w:fill="auto"/>
            <w:vAlign w:val="center"/>
          </w:tcPr>
          <w:p w14:paraId="5020B67B">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1005" w:type="dxa"/>
            <w:vAlign w:val="center"/>
          </w:tcPr>
          <w:p w14:paraId="6CC0908C">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39" w:type="dxa"/>
            <w:shd w:val="clear" w:color="auto" w:fill="auto"/>
            <w:vAlign w:val="center"/>
          </w:tcPr>
          <w:p w14:paraId="5DB666FD">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continue"/>
            <w:shd w:val="clear" w:color="auto" w:fill="auto"/>
            <w:vAlign w:val="center"/>
          </w:tcPr>
          <w:p w14:paraId="3EF7676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5E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center"/>
          </w:tcPr>
          <w:p w14:paraId="4F94F4E9">
            <w:pPr>
              <w:widowControl/>
              <w:jc w:val="center"/>
              <w:rPr>
                <w:rFonts w:hint="eastAsia" w:ascii="宋体" w:hAnsi="宋体" w:eastAsia="宋体" w:cs="宋体"/>
                <w:b/>
                <w:bCs/>
                <w:kern w:val="0"/>
                <w:sz w:val="24"/>
                <w:szCs w:val="24"/>
                <w:highlight w:val="none"/>
              </w:rPr>
            </w:pPr>
          </w:p>
        </w:tc>
        <w:tc>
          <w:tcPr>
            <w:tcW w:w="1211" w:type="dxa"/>
            <w:shd w:val="clear" w:color="auto" w:fill="auto"/>
            <w:vAlign w:val="center"/>
          </w:tcPr>
          <w:p w14:paraId="1318708C">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包覆组件</w:t>
            </w:r>
          </w:p>
        </w:tc>
        <w:tc>
          <w:tcPr>
            <w:tcW w:w="4680" w:type="dxa"/>
            <w:shd w:val="clear" w:color="auto" w:fill="auto"/>
            <w:vAlign w:val="center"/>
          </w:tcPr>
          <w:p w14:paraId="0064079B">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材料特性</w:t>
            </w:r>
          </w:p>
          <w:p w14:paraId="0C9123F2">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表面涂层：聚氨酯弹性体，厚度≥</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2 mm，伸缩率≥300%</w:t>
            </w:r>
          </w:p>
          <w:p w14:paraId="1F5B7FB0">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材料强度：抗拉强度≥500MPa，耐候性≥20年</w:t>
            </w:r>
          </w:p>
          <w:p w14:paraId="1BD48421">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耐低温性能：-40℃下抗拉强度≥15 MPa</w:t>
            </w:r>
          </w:p>
          <w:p w14:paraId="3E9F996B">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功能要求</w:t>
            </w:r>
          </w:p>
          <w:p w14:paraId="1EAEB8A8">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防水等级：IP67（防尘防水）</w:t>
            </w:r>
          </w:p>
          <w:p w14:paraId="24FFD61F">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抗冲击：通过1 m跌落测试（IEC 60068-2-32）</w:t>
            </w:r>
          </w:p>
        </w:tc>
        <w:tc>
          <w:tcPr>
            <w:tcW w:w="832" w:type="dxa"/>
            <w:shd w:val="clear" w:color="auto" w:fill="auto"/>
            <w:vAlign w:val="center"/>
          </w:tcPr>
          <w:p w14:paraId="41857AA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31" w:type="dxa"/>
            <w:shd w:val="clear" w:color="auto" w:fill="auto"/>
            <w:vAlign w:val="center"/>
          </w:tcPr>
          <w:p w14:paraId="78DCFD0A">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05" w:type="dxa"/>
            <w:shd w:val="clear" w:color="auto" w:fill="auto"/>
            <w:vAlign w:val="center"/>
          </w:tcPr>
          <w:p w14:paraId="45CA933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1005" w:type="dxa"/>
            <w:vAlign w:val="center"/>
          </w:tcPr>
          <w:p w14:paraId="38318ED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39" w:type="dxa"/>
            <w:shd w:val="clear" w:color="auto" w:fill="auto"/>
            <w:vAlign w:val="center"/>
          </w:tcPr>
          <w:p w14:paraId="674B38E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continue"/>
            <w:shd w:val="clear" w:color="auto" w:fill="auto"/>
            <w:vAlign w:val="center"/>
          </w:tcPr>
          <w:p w14:paraId="5E1CBC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AD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center"/>
          </w:tcPr>
          <w:p w14:paraId="027FD4FD">
            <w:pPr>
              <w:widowControl/>
              <w:jc w:val="center"/>
              <w:rPr>
                <w:rFonts w:hint="eastAsia" w:ascii="宋体" w:hAnsi="宋体" w:eastAsia="宋体" w:cs="宋体"/>
                <w:b/>
                <w:bCs/>
                <w:kern w:val="0"/>
                <w:sz w:val="24"/>
                <w:szCs w:val="24"/>
                <w:highlight w:val="none"/>
              </w:rPr>
            </w:pPr>
          </w:p>
        </w:tc>
        <w:tc>
          <w:tcPr>
            <w:tcW w:w="1211" w:type="dxa"/>
            <w:shd w:val="clear" w:color="auto" w:fill="auto"/>
            <w:vAlign w:val="center"/>
          </w:tcPr>
          <w:p w14:paraId="6349E488">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除冰组件</w:t>
            </w:r>
          </w:p>
        </w:tc>
        <w:tc>
          <w:tcPr>
            <w:tcW w:w="4680" w:type="dxa"/>
            <w:shd w:val="clear" w:color="auto" w:fill="auto"/>
            <w:vAlign w:val="center"/>
          </w:tcPr>
          <w:p w14:paraId="0F5D7F45">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除冰方式</w:t>
            </w:r>
          </w:p>
          <w:p w14:paraId="1BF28F3F">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加热功率：≥1000 W（可调）</w:t>
            </w:r>
          </w:p>
          <w:p w14:paraId="5E1B7FAF">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机械除冰：配备旋转刮刀（转速≥300 rpm）2. 能效指标</w:t>
            </w:r>
          </w:p>
          <w:p w14:paraId="7A0FFB41">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能耗：加热模式下≤1.2 kWh/m²</w:t>
            </w:r>
          </w:p>
          <w:p w14:paraId="12491F9A">
            <w:pPr>
              <w:pStyle w:val="12"/>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除冰效率：30分钟内清除≥5 mm冰层</w:t>
            </w:r>
          </w:p>
          <w:p w14:paraId="6E5CD3C0">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安全要求</w:t>
            </w:r>
          </w:p>
          <w:p w14:paraId="4298A877">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过热保护：内置温度传感器（&gt;80℃自动断电）</w:t>
            </w:r>
          </w:p>
          <w:p w14:paraId="76E03C13">
            <w:pPr>
              <w:pStyle w:val="12"/>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绝缘等级：符合IEC 60950标准（Class I）</w:t>
            </w:r>
          </w:p>
        </w:tc>
        <w:tc>
          <w:tcPr>
            <w:tcW w:w="832" w:type="dxa"/>
            <w:shd w:val="clear" w:color="auto" w:fill="auto"/>
            <w:vAlign w:val="center"/>
          </w:tcPr>
          <w:p w14:paraId="682CCA7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31" w:type="dxa"/>
            <w:shd w:val="clear" w:color="auto" w:fill="auto"/>
            <w:vAlign w:val="center"/>
          </w:tcPr>
          <w:p w14:paraId="1A5605B0">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05" w:type="dxa"/>
            <w:shd w:val="clear" w:color="auto" w:fill="auto"/>
            <w:vAlign w:val="center"/>
          </w:tcPr>
          <w:p w14:paraId="6AF472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1005" w:type="dxa"/>
            <w:vAlign w:val="center"/>
          </w:tcPr>
          <w:p w14:paraId="1EEB9E3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839" w:type="dxa"/>
            <w:shd w:val="clear" w:color="auto" w:fill="auto"/>
            <w:vAlign w:val="center"/>
          </w:tcPr>
          <w:p w14:paraId="0A7D96F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869" w:type="dxa"/>
            <w:vMerge w:val="continue"/>
            <w:shd w:val="clear" w:color="auto" w:fill="auto"/>
            <w:vAlign w:val="center"/>
          </w:tcPr>
          <w:p w14:paraId="1FE10E4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C2BD4F5">
      <w:pPr>
        <w:rPr>
          <w:rFonts w:hint="eastAsia" w:ascii="宋体" w:hAnsi="宋体" w:eastAsia="宋体" w:cs="宋体"/>
          <w:color w:val="000000" w:themeColor="text1"/>
          <w:sz w:val="24"/>
          <w:szCs w:val="24"/>
          <w:highlight w:val="none"/>
          <w14:textFill>
            <w14:solidFill>
              <w14:schemeClr w14:val="tx1"/>
            </w14:solidFill>
          </w14:textFill>
        </w:rPr>
      </w:pPr>
    </w:p>
    <w:p w14:paraId="30094F0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A2AD190">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15226112">
      <w:pPr>
        <w:shd w:val="clea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D2B9">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E0A1B4">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5E0A1B4">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523DF0A5">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DF19">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B910779"/>
    <w:rsid w:val="121A6680"/>
    <w:rsid w:val="145B03B7"/>
    <w:rsid w:val="14C56718"/>
    <w:rsid w:val="1BCD4A46"/>
    <w:rsid w:val="1F673085"/>
    <w:rsid w:val="20C0137D"/>
    <w:rsid w:val="23BB7539"/>
    <w:rsid w:val="29614FC6"/>
    <w:rsid w:val="2B3202B6"/>
    <w:rsid w:val="2FE42AFC"/>
    <w:rsid w:val="38B07D7C"/>
    <w:rsid w:val="39444C4F"/>
    <w:rsid w:val="39ED0E79"/>
    <w:rsid w:val="3DA90A2C"/>
    <w:rsid w:val="46ED73AD"/>
    <w:rsid w:val="482A26BE"/>
    <w:rsid w:val="48A6459C"/>
    <w:rsid w:val="4A05330E"/>
    <w:rsid w:val="4DCD55A0"/>
    <w:rsid w:val="4F6507F6"/>
    <w:rsid w:val="526E69C5"/>
    <w:rsid w:val="5418605D"/>
    <w:rsid w:val="5A0C2BCB"/>
    <w:rsid w:val="5EF64196"/>
    <w:rsid w:val="630E6937"/>
    <w:rsid w:val="65567F00"/>
    <w:rsid w:val="67587252"/>
    <w:rsid w:val="67F529D1"/>
    <w:rsid w:val="6B5F79E3"/>
    <w:rsid w:val="6F093D91"/>
    <w:rsid w:val="70E6518F"/>
    <w:rsid w:val="7243025C"/>
    <w:rsid w:val="73E84730"/>
    <w:rsid w:val="743631FB"/>
    <w:rsid w:val="79FA4C93"/>
    <w:rsid w:val="7A3E7C6A"/>
    <w:rsid w:val="7D8F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widowControl w:val="0"/>
      <w:adjustRightInd w:val="0"/>
      <w:spacing w:before="330" w:beforeLines="0" w:after="160" w:afterLines="0" w:line="490" w:lineRule="exact"/>
      <w:jc w:val="both"/>
    </w:pPr>
    <w:rPr>
      <w:rFonts w:ascii="Arial" w:hAnsi="Arial" w:eastAsia="黑体"/>
      <w:snapToGrid/>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5440</Words>
  <Characters>6157</Characters>
  <Lines>0</Lines>
  <Paragraphs>0</Paragraphs>
  <TotalTime>4</TotalTime>
  <ScaleCrop>false</ScaleCrop>
  <LinksUpToDate>false</LinksUpToDate>
  <CharactersWithSpaces>6201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王可爱</cp:lastModifiedBy>
  <dcterms:modified xsi:type="dcterms:W3CDTF">2025-06-18T07:17:52Z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6567C53CEB4E4E5C997CC5C6C703BEA0_13</vt:lpwstr>
  </property>
  <property fmtid="{D5CDD505-2E9C-101B-9397-08002B2CF9AE}" pid="4" name="KSOTemplateDocerSaveRecord">
    <vt:lpwstr>eyJoZGlkIjoiMjkxZjg0N2YzZWU5MjNlMzUxZWI3MTU1ODhiNWEwMjYiLCJ1c2VySWQiOiI1MDMwNzMyMjMifQ==</vt:lpwstr>
  </property>
</Properties>
</file>