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1" w:name="_GoBack"/>
      <w:r>
        <w:rPr>
          <w:rFonts w:hint="eastAsia" w:ascii="宋体" w:hAnsi="宋体" w:eastAsia="宋体" w:cs="宋体"/>
          <w:b/>
          <w:bCs/>
          <w:color w:val="000000" w:themeColor="text1"/>
          <w:kern w:val="0"/>
          <w:sz w:val="24"/>
          <w:szCs w:val="24"/>
          <w:highlight w:val="none"/>
          <w14:textFill>
            <w14:solidFill>
              <w14:schemeClr w14:val="tx1"/>
            </w14:solidFill>
          </w14:textFill>
        </w:rPr>
        <w:t>附件1   招标需求一览表</w:t>
      </w:r>
    </w:p>
    <w:bookmarkEnd w:id="1"/>
    <w:tbl>
      <w:tblPr>
        <w:tblStyle w:val="10"/>
        <w:tblW w:w="14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335"/>
        <w:gridCol w:w="4476"/>
        <w:gridCol w:w="830"/>
        <w:gridCol w:w="843"/>
        <w:gridCol w:w="1212"/>
        <w:gridCol w:w="986"/>
        <w:gridCol w:w="802"/>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04" w:type="dxa"/>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335"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物资名称</w:t>
            </w:r>
          </w:p>
        </w:tc>
        <w:tc>
          <w:tcPr>
            <w:tcW w:w="4476"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主要技术要求</w:t>
            </w:r>
          </w:p>
        </w:tc>
        <w:tc>
          <w:tcPr>
            <w:tcW w:w="830"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单位</w:t>
            </w:r>
          </w:p>
        </w:tc>
        <w:tc>
          <w:tcPr>
            <w:tcW w:w="843"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212"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交货日期</w:t>
            </w:r>
          </w:p>
        </w:tc>
        <w:tc>
          <w:tcPr>
            <w:tcW w:w="986" w:type="dxa"/>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质保期（不低于）</w:t>
            </w:r>
          </w:p>
        </w:tc>
        <w:tc>
          <w:tcPr>
            <w:tcW w:w="802"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交货地点</w:t>
            </w:r>
          </w:p>
        </w:tc>
        <w:tc>
          <w:tcPr>
            <w:tcW w:w="2121" w:type="dxa"/>
            <w:shd w:val="clear" w:color="auto" w:fill="auto"/>
            <w:vAlign w:val="center"/>
          </w:tcPr>
          <w:p>
            <w:pPr>
              <w:widowControl/>
              <w:snapToGrid w:val="0"/>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专用业绩要求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4" w:type="dxa"/>
            <w:vMerge w:val="restart"/>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固定、手持射频识别模组等采购项目</w:t>
            </w:r>
          </w:p>
        </w:tc>
        <w:tc>
          <w:tcPr>
            <w:tcW w:w="1335"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手持</w:t>
            </w:r>
            <w:r>
              <w:rPr>
                <w:rFonts w:hint="eastAsia" w:ascii="宋体" w:hAnsi="宋体" w:eastAsia="宋体" w:cs="宋体"/>
                <w:sz w:val="24"/>
                <w:szCs w:val="24"/>
                <w:lang w:val="en-US" w:eastAsia="zh-CN"/>
              </w:rPr>
              <w:t>射频识别</w:t>
            </w:r>
            <w:r>
              <w:rPr>
                <w:rFonts w:hint="eastAsia" w:ascii="宋体" w:hAnsi="宋体" w:eastAsia="宋体" w:cs="宋体"/>
                <w:sz w:val="24"/>
                <w:szCs w:val="24"/>
              </w:rPr>
              <w:t>模组</w:t>
            </w:r>
          </w:p>
        </w:tc>
        <w:tc>
          <w:tcPr>
            <w:tcW w:w="4476" w:type="dxa"/>
            <w:shd w:val="clear" w:color="auto" w:fill="auto"/>
            <w:vAlign w:val="center"/>
          </w:tcPr>
          <w:p>
            <w:pPr>
              <w:spacing w:line="280" w:lineRule="exact"/>
              <w:ind w:firstLine="0" w:firstLineChars="0"/>
              <w:rPr>
                <w:rFonts w:hint="eastAsia" w:ascii="宋体" w:hAnsi="宋体" w:eastAsia="宋体" w:cs="宋体"/>
                <w:sz w:val="24"/>
                <w:szCs w:val="24"/>
              </w:rPr>
            </w:pPr>
            <w:r>
              <w:rPr>
                <w:rFonts w:hint="eastAsia" w:ascii="宋体" w:hAnsi="宋体" w:eastAsia="宋体" w:cs="宋体"/>
                <w:sz w:val="24"/>
                <w:szCs w:val="24"/>
              </w:rPr>
              <w:t>需支持HF/UHF RFID标签（兼容EPC C1G2、ISO 18000-6C协议），在0-10米可调范围内实现有效读取（≥1米），具备20秒内批量读取500张标签的能力，支持纸质、屏幕及金属表面标签扫描；内置四核及以上处理器与64GB存储（可扩展至128GB），配备USB Type-C及蓝牙5.0接口。无线通信需支持双频Wi-Fi（2.4GHz/5GHz, 802.11 a/b/g/n/ac）、全网通蜂窝网络（GSM/TD-SCDMA/WCDMA/4G/5G）及GPS/北斗/GLONASS多模定位（开放环境精度≤5米），集成条码扫描、NFC读写与800万像素前后摄像头。物理防护需达IP65等级并通过MIL-STD-810G抗跌落认证，配置5英寸以上1080×1920分辨率阳光可视电容屏，采用可拆卸锂电池（续航≥10小时，支持30分钟快充至50%），工作温度适应-20℃~50℃。操作系统须为Android 10及以上，支持中英文界面切换，数据加密采用AES-256/TLS 1.2标准并配备指纹+密码双认证。</w:t>
            </w:r>
          </w:p>
        </w:tc>
        <w:tc>
          <w:tcPr>
            <w:tcW w:w="830" w:type="dxa"/>
            <w:shd w:val="clear" w:color="000000" w:fill="FFFFFF"/>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台</w:t>
            </w:r>
          </w:p>
        </w:tc>
        <w:tc>
          <w:tcPr>
            <w:tcW w:w="843" w:type="dxa"/>
            <w:shd w:val="clear" w:color="000000" w:fill="FFFFFF"/>
            <w:vAlign w:val="center"/>
          </w:tcPr>
          <w:p>
            <w:pPr>
              <w:widowControl/>
              <w:snapToGrid w:val="0"/>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4</w:t>
            </w:r>
          </w:p>
        </w:tc>
        <w:tc>
          <w:tcPr>
            <w:tcW w:w="1212"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接到供货通知后30日内</w:t>
            </w:r>
          </w:p>
        </w:tc>
        <w:tc>
          <w:tcPr>
            <w:tcW w:w="986" w:type="dxa"/>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3年</w:t>
            </w:r>
          </w:p>
        </w:tc>
        <w:tc>
          <w:tcPr>
            <w:tcW w:w="802"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买方指定地点</w:t>
            </w:r>
          </w:p>
        </w:tc>
        <w:tc>
          <w:tcPr>
            <w:tcW w:w="2121" w:type="dxa"/>
            <w:vMerge w:val="restart"/>
            <w:shd w:val="clear" w:color="auto" w:fill="auto"/>
            <w:vAlign w:val="center"/>
          </w:tcPr>
          <w:p>
            <w:pPr>
              <w:widowControl/>
              <w:snapToGrid w:val="0"/>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业绩要求：</w:t>
            </w:r>
            <w:r>
              <w:rPr>
                <w:rFonts w:hint="eastAsia" w:ascii="宋体" w:hAnsi="宋体" w:eastAsia="宋体" w:cs="宋体"/>
                <w:color w:val="000000" w:themeColor="text1"/>
                <w:kern w:val="0"/>
                <w:sz w:val="24"/>
                <w:szCs w:val="24"/>
                <w14:textFill>
                  <w14:solidFill>
                    <w14:schemeClr w14:val="tx1"/>
                  </w14:solidFill>
                </w14:textFill>
              </w:rPr>
              <w:t>2022年1月1日至招标采购公告发布日止，完成过智能仓储设备销售业绩不少于2份，合同额累计不少于50万。注：业绩必须提供对应的合同复印件、发票和相应查验截图。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4" w:type="dxa"/>
            <w:vMerge w:val="continue"/>
            <w:vAlign w:val="center"/>
          </w:tcPr>
          <w:p>
            <w:pPr>
              <w:widowControl/>
              <w:snapToGrid w:val="0"/>
              <w:ind w:firstLine="0" w:firstLineChars="0"/>
              <w:jc w:val="center"/>
              <w:rPr>
                <w:rFonts w:hint="eastAsia" w:ascii="宋体" w:hAnsi="宋体" w:eastAsia="宋体" w:cs="宋体"/>
                <w:sz w:val="24"/>
                <w:szCs w:val="24"/>
              </w:rPr>
            </w:pPr>
          </w:p>
        </w:tc>
        <w:tc>
          <w:tcPr>
            <w:tcW w:w="1335"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固定射频识别</w:t>
            </w:r>
            <w:r>
              <w:rPr>
                <w:rFonts w:hint="eastAsia" w:ascii="宋体" w:hAnsi="宋体" w:eastAsia="宋体" w:cs="宋体"/>
                <w:sz w:val="24"/>
                <w:szCs w:val="24"/>
              </w:rPr>
              <w:t>模组</w:t>
            </w:r>
          </w:p>
        </w:tc>
        <w:tc>
          <w:tcPr>
            <w:tcW w:w="4476" w:type="dxa"/>
            <w:shd w:val="clear" w:color="auto" w:fill="auto"/>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需符合EPC Class 1 Gen 2（ISO 18000-6C）标准，支持连续读取模式，在5-7秒内完成500-800个标签的批量读取并具备标签过滤功能；具备方向判断能力，可自动识别货物进出通道方向并触发标签读取，异常标签触发声光报警。有效读取范围宽度≥10米，读取准确率100%（需满足国网上海电力物资部门规定的包装、标签粘贴及拖车摆放标准）。内置高性能处理器及≥16GB内存，实时处理并存储标签数据，适应0℃~60℃工作环境。设备需配备图形化操作界面，兼容国产安全操作系统、Android或Windows系统，支持中英文语言切换。质保期为验收后2年，期满后提供3年非人为损坏免费维护，供应商需提供安装调试、定期维护及操作培训服务。支持外形定制化设计，提供Java/C# SDK开发包以满足二次开发需求。</w:t>
            </w:r>
          </w:p>
        </w:tc>
        <w:tc>
          <w:tcPr>
            <w:tcW w:w="830" w:type="dxa"/>
            <w:shd w:val="clear" w:color="000000" w:fill="FFFFFF"/>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台</w:t>
            </w:r>
          </w:p>
        </w:tc>
        <w:tc>
          <w:tcPr>
            <w:tcW w:w="843" w:type="dxa"/>
            <w:shd w:val="clear" w:color="000000" w:fill="FFFFFF"/>
            <w:vAlign w:val="center"/>
          </w:tcPr>
          <w:p>
            <w:pPr>
              <w:widowControl/>
              <w:snapToGrid w:val="0"/>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2</w:t>
            </w:r>
          </w:p>
        </w:tc>
        <w:tc>
          <w:tcPr>
            <w:tcW w:w="1212"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接到供货通知后30日内</w:t>
            </w:r>
          </w:p>
        </w:tc>
        <w:tc>
          <w:tcPr>
            <w:tcW w:w="986" w:type="dxa"/>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3年</w:t>
            </w:r>
          </w:p>
        </w:tc>
        <w:tc>
          <w:tcPr>
            <w:tcW w:w="802"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买方指定地点</w:t>
            </w:r>
          </w:p>
        </w:tc>
        <w:tc>
          <w:tcPr>
            <w:tcW w:w="2121" w:type="dxa"/>
            <w:vMerge w:val="continue"/>
            <w:shd w:val="clear" w:color="auto" w:fill="auto"/>
            <w:vAlign w:val="center"/>
          </w:tcPr>
          <w:p>
            <w:pPr>
              <w:widowControl/>
              <w:snapToGrid w:val="0"/>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4" w:type="dxa"/>
            <w:vMerge w:val="continue"/>
            <w:vAlign w:val="center"/>
          </w:tcPr>
          <w:p>
            <w:pPr>
              <w:widowControl/>
              <w:snapToGrid w:val="0"/>
              <w:ind w:firstLine="0" w:firstLineChars="0"/>
              <w:jc w:val="center"/>
              <w:rPr>
                <w:rFonts w:hint="eastAsia" w:ascii="宋体" w:hAnsi="宋体" w:eastAsia="宋体" w:cs="宋体"/>
                <w:sz w:val="24"/>
                <w:szCs w:val="24"/>
              </w:rPr>
            </w:pPr>
          </w:p>
        </w:tc>
        <w:tc>
          <w:tcPr>
            <w:tcW w:w="1335"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操作终端组件</w:t>
            </w:r>
          </w:p>
        </w:tc>
        <w:tc>
          <w:tcPr>
            <w:tcW w:w="4476" w:type="dxa"/>
            <w:shd w:val="clear" w:color="auto" w:fill="auto"/>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需搭载多核处理器（主频不低于2.7GHz），配备≥32GB RAM内存及≥1TB内置存储（支持外部扩展）；通信接口需含双LAN口、Wi-Fi（802.11a/b/g/n/ac）、蓝牙5.0、2个USB端口及1个RS232串口。配置32英寸以上全高清触摸屏（分辨率≥1920×1080），支持多点触控及图形化操作界面，工作电压220V，适应0℃~50℃环境温度。机身采用高强度塑料/金属合金抗冲击结构，内置防病毒及网络防护功能，集成一维/二维条码扫描模块、二代身份证读取器、UHF RFID读写器（支持EPC C1G2协议）及500万像素宽动态前置摄像头（30fps，支持人脸识别）。</w:t>
            </w:r>
          </w:p>
        </w:tc>
        <w:tc>
          <w:tcPr>
            <w:tcW w:w="830" w:type="dxa"/>
            <w:shd w:val="clear" w:color="000000" w:fill="FFFFFF"/>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台</w:t>
            </w:r>
          </w:p>
        </w:tc>
        <w:tc>
          <w:tcPr>
            <w:tcW w:w="843" w:type="dxa"/>
            <w:shd w:val="clear" w:color="000000" w:fill="FFFFFF"/>
            <w:vAlign w:val="center"/>
          </w:tcPr>
          <w:p>
            <w:pPr>
              <w:widowControl/>
              <w:snapToGrid w:val="0"/>
              <w:ind w:firstLine="0" w:firstLineChars="0"/>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212"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接到供货通知后30日内</w:t>
            </w:r>
          </w:p>
        </w:tc>
        <w:tc>
          <w:tcPr>
            <w:tcW w:w="986" w:type="dxa"/>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3年</w:t>
            </w:r>
          </w:p>
        </w:tc>
        <w:tc>
          <w:tcPr>
            <w:tcW w:w="802"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买方指定地点</w:t>
            </w:r>
          </w:p>
        </w:tc>
        <w:tc>
          <w:tcPr>
            <w:tcW w:w="2121" w:type="dxa"/>
            <w:vMerge w:val="continue"/>
            <w:shd w:val="clear" w:color="auto" w:fill="auto"/>
            <w:vAlign w:val="center"/>
          </w:tcPr>
          <w:p>
            <w:pPr>
              <w:widowControl/>
              <w:snapToGrid w:val="0"/>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4" w:type="dxa"/>
            <w:vMerge w:val="continue"/>
            <w:vAlign w:val="center"/>
          </w:tcPr>
          <w:p>
            <w:pPr>
              <w:widowControl/>
              <w:snapToGrid w:val="0"/>
              <w:ind w:firstLine="0" w:firstLineChars="0"/>
              <w:jc w:val="center"/>
              <w:rPr>
                <w:rFonts w:hint="eastAsia" w:ascii="宋体" w:hAnsi="宋体" w:eastAsia="宋体" w:cs="宋体"/>
                <w:sz w:val="24"/>
                <w:szCs w:val="24"/>
              </w:rPr>
            </w:pPr>
          </w:p>
        </w:tc>
        <w:tc>
          <w:tcPr>
            <w:tcW w:w="1335"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图像采集组件</w:t>
            </w:r>
          </w:p>
        </w:tc>
        <w:tc>
          <w:tcPr>
            <w:tcW w:w="4476" w:type="dxa"/>
            <w:shd w:val="clear" w:color="auto" w:fill="auto"/>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相机需支持4096×2160分辨率（≥800万像素）彩色图像采集，帧率≥30fps，支持BayerRG8/10/10Packed及BayerGB8/10/10Packed格式，具备软件触发、硬件触发与自由运行三种采集模式，支持X/Y轴图像翻转；接口需含USB 3.0及6芯</w:t>
            </w:r>
            <w:bookmarkStart w:id="0" w:name="OLE_LINK1"/>
            <w:r>
              <w:rPr>
                <w:rFonts w:hint="eastAsia" w:ascii="宋体" w:hAnsi="宋体" w:eastAsia="宋体" w:cs="宋体"/>
                <w:sz w:val="24"/>
                <w:szCs w:val="24"/>
              </w:rPr>
              <w:t xml:space="preserve"> GPIO</w:t>
            </w:r>
            <w:bookmarkEnd w:id="0"/>
            <w:r>
              <w:rPr>
                <w:rFonts w:hint="eastAsia" w:ascii="宋体" w:hAnsi="宋体" w:eastAsia="宋体" w:cs="宋体"/>
                <w:sz w:val="24"/>
                <w:szCs w:val="24"/>
              </w:rPr>
              <w:t>（含1路光耦隔离输入、1路光耦隔离输出、1路可配置非隔离I/O），支持2组用户自定义配置存储，配备64MB图像缓存与64MB数据缓存。供电方式兼容USB供电或接口直流供电（电压范围9V~24V，功耗≤4.0W），适应-30℃~+50℃工作温度及-30℃~+80℃存储温度。</w:t>
            </w:r>
          </w:p>
        </w:tc>
        <w:tc>
          <w:tcPr>
            <w:tcW w:w="830" w:type="dxa"/>
            <w:shd w:val="clear" w:color="000000" w:fill="FFFFFF"/>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台</w:t>
            </w:r>
          </w:p>
        </w:tc>
        <w:tc>
          <w:tcPr>
            <w:tcW w:w="843" w:type="dxa"/>
            <w:shd w:val="clear" w:color="000000" w:fill="FFFFFF"/>
            <w:vAlign w:val="center"/>
          </w:tcPr>
          <w:p>
            <w:pPr>
              <w:widowControl/>
              <w:snapToGrid w:val="0"/>
              <w:ind w:firstLine="0" w:firstLineChars="0"/>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212"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接到供货通知后30日内</w:t>
            </w:r>
          </w:p>
        </w:tc>
        <w:tc>
          <w:tcPr>
            <w:tcW w:w="986" w:type="dxa"/>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3年</w:t>
            </w:r>
          </w:p>
        </w:tc>
        <w:tc>
          <w:tcPr>
            <w:tcW w:w="802"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买方指定地点</w:t>
            </w:r>
          </w:p>
        </w:tc>
        <w:tc>
          <w:tcPr>
            <w:tcW w:w="2121" w:type="dxa"/>
            <w:vMerge w:val="continue"/>
            <w:shd w:val="clear" w:color="auto" w:fill="auto"/>
            <w:vAlign w:val="center"/>
          </w:tcPr>
          <w:p>
            <w:pPr>
              <w:widowControl/>
              <w:snapToGrid w:val="0"/>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4" w:type="dxa"/>
            <w:vMerge w:val="continue"/>
            <w:vAlign w:val="center"/>
          </w:tcPr>
          <w:p>
            <w:pPr>
              <w:widowControl/>
              <w:snapToGrid w:val="0"/>
              <w:ind w:firstLine="0" w:firstLineChars="0"/>
              <w:jc w:val="center"/>
              <w:rPr>
                <w:rFonts w:hint="eastAsia" w:ascii="宋体" w:hAnsi="宋体" w:eastAsia="宋体" w:cs="宋体"/>
                <w:sz w:val="24"/>
                <w:szCs w:val="24"/>
              </w:rPr>
            </w:pPr>
          </w:p>
        </w:tc>
        <w:tc>
          <w:tcPr>
            <w:tcW w:w="1335"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AGV搬运模组</w:t>
            </w:r>
          </w:p>
        </w:tc>
        <w:tc>
          <w:tcPr>
            <w:tcW w:w="4476" w:type="dxa"/>
            <w:shd w:val="clear" w:color="auto" w:fill="auto"/>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本体采用平衡重式设计，适配1200×1000mm围栏/塑料托盘及1780×1200mm围栏托盘，托盘带货最大高度2000mm，最大载重3000kg；支持激光SLAM导航（位置精度±10mm）及手持器/自动双模式驾驶，伺服控制驱动，行驶速度满载1.3m/s、空载1.5m/s，举升高度3800mm（满载/空载起升速度110/130mm/s，下降速度140/110mm/s）；配备聚氨酯静音轮胎，48V/300Ah锂电池（续航8-10小时，充电3-4小时可充至80%），支持自动/手动充电（循环次数＞2000次），通讯采用5G/Wi-Fi双模，电磁制动系统，最小转弯半径1883mm。</w:t>
            </w:r>
          </w:p>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包含调度系统，需提供和上位WCS/WMS系统的接口联调方案。</w:t>
            </w:r>
          </w:p>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包含反反光柱，且数量不低于25个。</w:t>
            </w:r>
          </w:p>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AGV接驳定位装置：可以放下1780mm*1200mm*2000mm围栏托盘</w:t>
            </w:r>
          </w:p>
        </w:tc>
        <w:tc>
          <w:tcPr>
            <w:tcW w:w="830" w:type="dxa"/>
            <w:shd w:val="clear" w:color="000000" w:fill="FFFFFF"/>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c>
          <w:tcPr>
            <w:tcW w:w="843" w:type="dxa"/>
            <w:shd w:val="clear" w:color="000000" w:fill="FFFFFF"/>
            <w:vAlign w:val="center"/>
          </w:tcPr>
          <w:p>
            <w:pPr>
              <w:widowControl/>
              <w:snapToGrid w:val="0"/>
              <w:ind w:firstLine="0" w:firstLineChars="0"/>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212"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接到供货通知后30日内</w:t>
            </w:r>
          </w:p>
        </w:tc>
        <w:tc>
          <w:tcPr>
            <w:tcW w:w="986" w:type="dxa"/>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3年</w:t>
            </w:r>
          </w:p>
        </w:tc>
        <w:tc>
          <w:tcPr>
            <w:tcW w:w="802"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买方指定地点</w:t>
            </w:r>
          </w:p>
        </w:tc>
        <w:tc>
          <w:tcPr>
            <w:tcW w:w="2121" w:type="dxa"/>
            <w:vMerge w:val="continue"/>
            <w:shd w:val="clear" w:color="auto" w:fill="auto"/>
            <w:vAlign w:val="center"/>
          </w:tcPr>
          <w:p>
            <w:pPr>
              <w:widowControl/>
              <w:snapToGrid w:val="0"/>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4" w:type="dxa"/>
            <w:vMerge w:val="continue"/>
            <w:vAlign w:val="center"/>
          </w:tcPr>
          <w:p>
            <w:pPr>
              <w:widowControl/>
              <w:snapToGrid w:val="0"/>
              <w:ind w:firstLine="0" w:firstLineChars="0"/>
              <w:jc w:val="center"/>
              <w:rPr>
                <w:rFonts w:hint="eastAsia" w:ascii="宋体" w:hAnsi="宋体" w:eastAsia="宋体" w:cs="宋体"/>
                <w:sz w:val="24"/>
                <w:szCs w:val="24"/>
              </w:rPr>
            </w:pPr>
          </w:p>
        </w:tc>
        <w:tc>
          <w:tcPr>
            <w:tcW w:w="1335"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充电桩组件</w:t>
            </w:r>
          </w:p>
          <w:p>
            <w:pPr>
              <w:ind w:firstLine="0" w:firstLineChars="0"/>
              <w:jc w:val="center"/>
              <w:rPr>
                <w:rFonts w:hint="eastAsia" w:ascii="宋体" w:hAnsi="宋体" w:eastAsia="宋体" w:cs="宋体"/>
                <w:sz w:val="24"/>
                <w:szCs w:val="24"/>
              </w:rPr>
            </w:pPr>
          </w:p>
        </w:tc>
        <w:tc>
          <w:tcPr>
            <w:tcW w:w="4476" w:type="dxa"/>
            <w:shd w:val="clear" w:color="auto" w:fill="auto"/>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尺寸≤600×500×1000mm，输入380V±10%交流电（50-60Hz），输出32-68VDC/≤100A，功率≥6000W，工作噪声≤55dB，适应0-40℃环境（湿度5%-90%，海拔≤2000m）；通讯支持Wi-Fi/有线/5G，开放19204、20204、20207端口。</w:t>
            </w:r>
          </w:p>
        </w:tc>
        <w:tc>
          <w:tcPr>
            <w:tcW w:w="830" w:type="dxa"/>
            <w:shd w:val="clear" w:color="000000" w:fill="FFFFFF"/>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c>
          <w:tcPr>
            <w:tcW w:w="843" w:type="dxa"/>
            <w:shd w:val="clear" w:color="000000" w:fill="FFFFFF"/>
            <w:vAlign w:val="center"/>
          </w:tcPr>
          <w:p>
            <w:pPr>
              <w:widowControl/>
              <w:snapToGrid w:val="0"/>
              <w:ind w:firstLine="0" w:firstLineChars="0"/>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212"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接到供货通知后30日内</w:t>
            </w:r>
          </w:p>
        </w:tc>
        <w:tc>
          <w:tcPr>
            <w:tcW w:w="986" w:type="dxa"/>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3年</w:t>
            </w:r>
          </w:p>
        </w:tc>
        <w:tc>
          <w:tcPr>
            <w:tcW w:w="802"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买方指定地点</w:t>
            </w:r>
          </w:p>
        </w:tc>
        <w:tc>
          <w:tcPr>
            <w:tcW w:w="2121" w:type="dxa"/>
            <w:vMerge w:val="continue"/>
            <w:shd w:val="clear" w:color="auto" w:fill="auto"/>
            <w:vAlign w:val="center"/>
          </w:tcPr>
          <w:p>
            <w:pPr>
              <w:widowControl/>
              <w:snapToGrid w:val="0"/>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4" w:type="dxa"/>
            <w:vMerge w:val="continue"/>
            <w:vAlign w:val="center"/>
          </w:tcPr>
          <w:p>
            <w:pPr>
              <w:widowControl/>
              <w:snapToGrid w:val="0"/>
              <w:ind w:firstLine="0" w:firstLineChars="0"/>
              <w:jc w:val="center"/>
              <w:rPr>
                <w:rFonts w:hint="eastAsia" w:ascii="宋体" w:hAnsi="宋体" w:eastAsia="宋体" w:cs="宋体"/>
                <w:sz w:val="24"/>
                <w:szCs w:val="24"/>
              </w:rPr>
            </w:pPr>
          </w:p>
        </w:tc>
        <w:tc>
          <w:tcPr>
            <w:tcW w:w="1335"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称重模组</w:t>
            </w:r>
          </w:p>
        </w:tc>
        <w:tc>
          <w:tcPr>
            <w:tcW w:w="4476" w:type="dxa"/>
            <w:shd w:val="clear" w:color="auto" w:fill="auto"/>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支持1200×1000×2000mm围栏/塑料托盘及1780×1200×2000mm围栏托盘，最大称重2000kg，具备超重声光报警及货架限重指引功能（报警信息需人工确认后执行操作）。</w:t>
            </w:r>
          </w:p>
        </w:tc>
        <w:tc>
          <w:tcPr>
            <w:tcW w:w="830" w:type="dxa"/>
            <w:shd w:val="clear" w:color="000000" w:fill="FFFFFF"/>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c>
          <w:tcPr>
            <w:tcW w:w="843" w:type="dxa"/>
            <w:shd w:val="clear" w:color="000000" w:fill="FFFFFF"/>
            <w:vAlign w:val="center"/>
          </w:tcPr>
          <w:p>
            <w:pPr>
              <w:widowControl/>
              <w:snapToGrid w:val="0"/>
              <w:ind w:firstLine="0" w:firstLineChars="0"/>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1212"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接到供货通知后30日内</w:t>
            </w:r>
          </w:p>
        </w:tc>
        <w:tc>
          <w:tcPr>
            <w:tcW w:w="986" w:type="dxa"/>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3年</w:t>
            </w:r>
          </w:p>
        </w:tc>
        <w:tc>
          <w:tcPr>
            <w:tcW w:w="802"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买方指定地点</w:t>
            </w:r>
          </w:p>
        </w:tc>
        <w:tc>
          <w:tcPr>
            <w:tcW w:w="2121" w:type="dxa"/>
            <w:vMerge w:val="continue"/>
            <w:shd w:val="clear" w:color="auto" w:fill="auto"/>
            <w:vAlign w:val="center"/>
          </w:tcPr>
          <w:p>
            <w:pPr>
              <w:widowControl/>
              <w:snapToGrid w:val="0"/>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4" w:type="dxa"/>
            <w:vMerge w:val="continue"/>
            <w:vAlign w:val="center"/>
          </w:tcPr>
          <w:p>
            <w:pPr>
              <w:widowControl/>
              <w:snapToGrid w:val="0"/>
              <w:ind w:firstLine="0" w:firstLineChars="0"/>
              <w:jc w:val="center"/>
              <w:rPr>
                <w:rFonts w:hint="eastAsia" w:ascii="宋体" w:hAnsi="宋体" w:eastAsia="宋体" w:cs="宋体"/>
                <w:sz w:val="24"/>
                <w:szCs w:val="24"/>
              </w:rPr>
            </w:pPr>
          </w:p>
        </w:tc>
        <w:tc>
          <w:tcPr>
            <w:tcW w:w="1335"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计算单元</w:t>
            </w:r>
          </w:p>
        </w:tc>
        <w:tc>
          <w:tcPr>
            <w:tcW w:w="4476" w:type="dxa"/>
            <w:shd w:val="clear" w:color="auto" w:fill="auto"/>
            <w:vAlign w:val="center"/>
          </w:tcPr>
          <w:p>
            <w:pPr>
              <w:ind w:firstLine="0" w:firstLineChars="0"/>
              <w:jc w:val="left"/>
              <w:rPr>
                <w:rFonts w:hint="eastAsia" w:ascii="宋体" w:hAnsi="宋体" w:eastAsia="宋体" w:cs="宋体"/>
                <w:sz w:val="24"/>
                <w:szCs w:val="24"/>
              </w:rPr>
            </w:pPr>
            <w:r>
              <w:rPr>
                <w:rFonts w:hint="eastAsia" w:ascii="宋体" w:hAnsi="宋体" w:eastAsia="宋体" w:cs="宋体"/>
                <w:sz w:val="24"/>
                <w:szCs w:val="24"/>
              </w:rPr>
              <w:t>知名主流品牌，配置不低于1.9GHz/32G DDR4内存/2*2TB。</w:t>
            </w:r>
          </w:p>
        </w:tc>
        <w:tc>
          <w:tcPr>
            <w:tcW w:w="830" w:type="dxa"/>
            <w:shd w:val="clear" w:color="000000" w:fill="FFFFFF"/>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c>
          <w:tcPr>
            <w:tcW w:w="843" w:type="dxa"/>
            <w:shd w:val="clear" w:color="000000" w:fill="FFFFFF"/>
            <w:vAlign w:val="center"/>
          </w:tcPr>
          <w:p>
            <w:pPr>
              <w:widowControl/>
              <w:snapToGrid w:val="0"/>
              <w:ind w:firstLine="0" w:firstLineChars="0"/>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1212"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接到供货通知后30日内</w:t>
            </w:r>
          </w:p>
        </w:tc>
        <w:tc>
          <w:tcPr>
            <w:tcW w:w="986" w:type="dxa"/>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3年</w:t>
            </w:r>
          </w:p>
        </w:tc>
        <w:tc>
          <w:tcPr>
            <w:tcW w:w="802"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买方指定地点</w:t>
            </w:r>
          </w:p>
        </w:tc>
        <w:tc>
          <w:tcPr>
            <w:tcW w:w="2121" w:type="dxa"/>
            <w:vMerge w:val="continue"/>
            <w:shd w:val="clear" w:color="auto" w:fill="auto"/>
            <w:vAlign w:val="center"/>
          </w:tcPr>
          <w:p>
            <w:pPr>
              <w:widowControl/>
              <w:snapToGrid w:val="0"/>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4" w:type="dxa"/>
            <w:vMerge w:val="continue"/>
            <w:vAlign w:val="center"/>
          </w:tcPr>
          <w:p>
            <w:pPr>
              <w:widowControl/>
              <w:snapToGrid w:val="0"/>
              <w:ind w:firstLine="0" w:firstLineChars="0"/>
              <w:jc w:val="center"/>
              <w:rPr>
                <w:rFonts w:hint="eastAsia" w:ascii="宋体" w:hAnsi="宋体" w:eastAsia="宋体" w:cs="宋体"/>
                <w:sz w:val="24"/>
                <w:szCs w:val="24"/>
              </w:rPr>
            </w:pPr>
          </w:p>
        </w:tc>
        <w:tc>
          <w:tcPr>
            <w:tcW w:w="1335" w:type="dxa"/>
            <w:shd w:val="clear" w:color="auto" w:fill="auto"/>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工控单元</w:t>
            </w:r>
          </w:p>
        </w:tc>
        <w:tc>
          <w:tcPr>
            <w:tcW w:w="4476" w:type="dxa"/>
            <w:shd w:val="clear" w:color="auto" w:fill="auto"/>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配置不低于3.3GHz，内存不低于8GB,硬盘不低于500GB。</w:t>
            </w:r>
          </w:p>
        </w:tc>
        <w:tc>
          <w:tcPr>
            <w:tcW w:w="830" w:type="dxa"/>
            <w:shd w:val="clear" w:color="000000" w:fill="FFFFFF"/>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c>
          <w:tcPr>
            <w:tcW w:w="843" w:type="dxa"/>
            <w:shd w:val="clear" w:color="000000" w:fill="FFFFFF"/>
            <w:vAlign w:val="center"/>
          </w:tcPr>
          <w:p>
            <w:pPr>
              <w:widowControl/>
              <w:snapToGrid w:val="0"/>
              <w:ind w:firstLine="0" w:firstLineChars="0"/>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1212"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接到供货通知后30日内</w:t>
            </w:r>
          </w:p>
        </w:tc>
        <w:tc>
          <w:tcPr>
            <w:tcW w:w="986" w:type="dxa"/>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3年</w:t>
            </w:r>
          </w:p>
        </w:tc>
        <w:tc>
          <w:tcPr>
            <w:tcW w:w="802" w:type="dxa"/>
            <w:shd w:val="clear" w:color="auto" w:fill="auto"/>
            <w:vAlign w:val="center"/>
          </w:tcPr>
          <w:p>
            <w:pPr>
              <w:widowControl/>
              <w:snapToGri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买方指定地点</w:t>
            </w:r>
          </w:p>
        </w:tc>
        <w:tc>
          <w:tcPr>
            <w:tcW w:w="2121" w:type="dxa"/>
            <w:vMerge w:val="continue"/>
            <w:shd w:val="clear" w:color="auto" w:fill="auto"/>
            <w:vAlign w:val="center"/>
          </w:tcPr>
          <w:p>
            <w:pPr>
              <w:widowControl/>
              <w:snapToGrid w:val="0"/>
              <w:ind w:firstLine="0" w:firstLineChars="0"/>
              <w:rPr>
                <w:rFonts w:hint="eastAsia" w:ascii="宋体" w:hAnsi="宋体" w:eastAsia="宋体" w:cs="宋体"/>
                <w:sz w:val="24"/>
                <w:szCs w:val="24"/>
              </w:rPr>
            </w:pPr>
          </w:p>
        </w:tc>
      </w:tr>
    </w:tbl>
    <w:p>
      <w:pPr>
        <w:pStyle w:val="16"/>
        <w:ind w:left="-357" w:leftChars="-170" w:firstLine="440"/>
        <w:outlineLvl w:val="0"/>
        <w:rPr>
          <w:rFonts w:hint="eastAsia" w:ascii="宋体" w:hAnsi="宋体" w:eastAsia="宋体" w:cs="宋体"/>
          <w:color w:val="000000" w:themeColor="text1"/>
          <w:sz w:val="24"/>
          <w:szCs w:val="24"/>
          <w:highlight w:val="none"/>
          <w14:textFill>
            <w14:solidFill>
              <w14:schemeClr w14:val="tx1"/>
            </w14:solidFill>
          </w14:textFill>
        </w:rPr>
      </w:pPr>
    </w:p>
    <w:p>
      <w:pPr>
        <w:pStyle w:val="16"/>
        <w:ind w:left="-357" w:leftChars="-170" w:firstLine="44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pPr>
        <w:pStyle w:val="14"/>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备注：</w:t>
      </w:r>
      <w:r>
        <w:rPr>
          <w:rFonts w:hint="eastAsia" w:ascii="宋体" w:hAnsi="宋体" w:eastAsia="宋体" w:cs="宋体"/>
          <w:color w:val="000000"/>
          <w:sz w:val="24"/>
          <w:szCs w:val="24"/>
          <w:highlight w:val="none"/>
        </w:rPr>
        <w:t>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2.投标文件中提供的证明材料复印件应复印清晰、可辨认且不得遮盖、涂抹，否则视为无效。</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pPr>
                            <w:pStyle w:val="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pPr>
                      <w:pStyle w:val="7"/>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34F512C"/>
    <w:rsid w:val="04707138"/>
    <w:rsid w:val="04860D8F"/>
    <w:rsid w:val="07563215"/>
    <w:rsid w:val="0A8B5858"/>
    <w:rsid w:val="0C9566ED"/>
    <w:rsid w:val="10C017AC"/>
    <w:rsid w:val="11EF4173"/>
    <w:rsid w:val="16267F4A"/>
    <w:rsid w:val="17252504"/>
    <w:rsid w:val="17832749"/>
    <w:rsid w:val="188E6C44"/>
    <w:rsid w:val="18E776A7"/>
    <w:rsid w:val="22BC120E"/>
    <w:rsid w:val="22F71DBE"/>
    <w:rsid w:val="2303000D"/>
    <w:rsid w:val="26BD5819"/>
    <w:rsid w:val="28455ABC"/>
    <w:rsid w:val="2EBF6414"/>
    <w:rsid w:val="2FDE29E1"/>
    <w:rsid w:val="3A2F2590"/>
    <w:rsid w:val="42CE694E"/>
    <w:rsid w:val="4AA15384"/>
    <w:rsid w:val="4ABD7A75"/>
    <w:rsid w:val="4D2E620D"/>
    <w:rsid w:val="4F403134"/>
    <w:rsid w:val="50614586"/>
    <w:rsid w:val="50E64EAF"/>
    <w:rsid w:val="50EC207F"/>
    <w:rsid w:val="511E0452"/>
    <w:rsid w:val="51340035"/>
    <w:rsid w:val="516A3318"/>
    <w:rsid w:val="52E15F68"/>
    <w:rsid w:val="637846F9"/>
    <w:rsid w:val="668F4233"/>
    <w:rsid w:val="699B2708"/>
    <w:rsid w:val="6B0F6C92"/>
    <w:rsid w:val="6B8F54C3"/>
    <w:rsid w:val="72A11576"/>
    <w:rsid w:val="762519CD"/>
    <w:rsid w:val="779E0348"/>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Plain Text"/>
    <w:basedOn w:val="1"/>
    <w:autoRedefine/>
    <w:qFormat/>
    <w:uiPriority w:val="0"/>
    <w:rPr>
      <w:rFonts w:hAnsi="Courier New" w:cs="Century"/>
      <w:szCs w:val="21"/>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autoRedefine/>
    <w:qFormat/>
    <w:uiPriority w:val="0"/>
    <w:pPr>
      <w:ind w:firstLine="420"/>
    </w:pPr>
  </w:style>
  <w:style w:type="character" w:styleId="12">
    <w:name w:val="Hyperlink"/>
    <w:autoRedefine/>
    <w:qFormat/>
    <w:uiPriority w:val="99"/>
    <w:rPr>
      <w:color w:val="0000FF"/>
      <w:u w:val="single"/>
    </w:rPr>
  </w:style>
  <w:style w:type="paragraph" w:customStyle="1" w:styleId="13">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4">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5">
    <w:name w:val="No Spacing"/>
    <w:autoRedefine/>
    <w:qFormat/>
    <w:uiPriority w:val="1"/>
    <w:rPr>
      <w:rFonts w:ascii="宋体" w:hAnsi="宋体" w:eastAsia="宋体" w:cs="宋体"/>
      <w:kern w:val="0"/>
      <w:sz w:val="24"/>
      <w:szCs w:val="24"/>
      <w:lang w:val="en-US" w:eastAsia="zh-CN" w:bidi="ar-SA"/>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6583</Words>
  <Characters>7496</Characters>
  <Lines>0</Lines>
  <Paragraphs>0</Paragraphs>
  <TotalTime>8</TotalTime>
  <ScaleCrop>false</ScaleCrop>
  <LinksUpToDate>false</LinksUpToDate>
  <CharactersWithSpaces>7521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北辰</cp:lastModifiedBy>
  <dcterms:modified xsi:type="dcterms:W3CDTF">2025-06-18T09:44:23Z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B55D712B799E47078AC860779D012B68_13</vt:lpwstr>
  </property>
  <property fmtid="{D5CDD505-2E9C-101B-9397-08002B2CF9AE}" pid="4" name="KSOTemplateDocerSaveRecord">
    <vt:lpwstr>eyJoZGlkIjoiMjkxZjg0N2YzZWU5MjNlMzUxZWI3MTU1ODhiNWEwMjYiLCJ1c2VySWQiOiI1MDMwNzMyMjMifQ==</vt:lpwstr>
  </property>
</Properties>
</file>