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68F90">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9"/>
        <w:tblW w:w="14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38"/>
        <w:gridCol w:w="4796"/>
        <w:gridCol w:w="871"/>
        <w:gridCol w:w="789"/>
        <w:gridCol w:w="1238"/>
        <w:gridCol w:w="1244"/>
        <w:gridCol w:w="771"/>
        <w:gridCol w:w="2116"/>
      </w:tblGrid>
      <w:tr w14:paraId="7555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42" w:type="dxa"/>
            <w:vAlign w:val="center"/>
          </w:tcPr>
          <w:p w14:paraId="51DB439A">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238" w:type="dxa"/>
            <w:shd w:val="clear" w:color="auto" w:fill="auto"/>
            <w:vAlign w:val="center"/>
          </w:tcPr>
          <w:p w14:paraId="616E9B9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4796" w:type="dxa"/>
            <w:shd w:val="clear" w:color="auto" w:fill="auto"/>
            <w:vAlign w:val="center"/>
          </w:tcPr>
          <w:p w14:paraId="4CE2A0B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871" w:type="dxa"/>
            <w:shd w:val="clear" w:color="auto" w:fill="auto"/>
            <w:vAlign w:val="center"/>
          </w:tcPr>
          <w:p w14:paraId="6162869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789" w:type="dxa"/>
            <w:shd w:val="clear" w:color="auto" w:fill="auto"/>
            <w:vAlign w:val="center"/>
          </w:tcPr>
          <w:p w14:paraId="02EEC0E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238" w:type="dxa"/>
            <w:shd w:val="clear" w:color="auto" w:fill="auto"/>
            <w:vAlign w:val="center"/>
          </w:tcPr>
          <w:p w14:paraId="527B6EB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1244" w:type="dxa"/>
            <w:vAlign w:val="center"/>
          </w:tcPr>
          <w:p w14:paraId="259D823B">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质保期（不低于）</w:t>
            </w:r>
          </w:p>
        </w:tc>
        <w:tc>
          <w:tcPr>
            <w:tcW w:w="771" w:type="dxa"/>
            <w:shd w:val="clear" w:color="auto" w:fill="auto"/>
            <w:vAlign w:val="center"/>
          </w:tcPr>
          <w:p w14:paraId="0CCE8CFE">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2116" w:type="dxa"/>
            <w:shd w:val="clear" w:color="auto" w:fill="auto"/>
            <w:vAlign w:val="center"/>
          </w:tcPr>
          <w:p w14:paraId="69E5B071">
            <w:pPr>
              <w:widowControl/>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专用业绩要求</w:t>
            </w:r>
          </w:p>
        </w:tc>
      </w:tr>
      <w:tr w14:paraId="0E92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jc w:val="center"/>
        </w:trPr>
        <w:tc>
          <w:tcPr>
            <w:tcW w:w="1242" w:type="dxa"/>
            <w:vMerge w:val="restart"/>
            <w:vAlign w:val="center"/>
          </w:tcPr>
          <w:p w14:paraId="134AC996">
            <w:pPr>
              <w:pStyle w:val="15"/>
              <w:tabs>
                <w:tab w:val="left" w:pos="1620"/>
                <w:tab w:val="left" w:pos="7200"/>
              </w:tabs>
              <w:snapToGrid w:val="0"/>
              <w:spacing w:before="0" w:after="0" w:line="240" w:lineRule="auto"/>
              <w:jc w:val="cente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rPr>
              <w:t>无线通信模组采购项目</w:t>
            </w:r>
          </w:p>
        </w:tc>
        <w:tc>
          <w:tcPr>
            <w:tcW w:w="1238" w:type="dxa"/>
            <w:shd w:val="clear" w:color="auto" w:fill="auto"/>
            <w:vAlign w:val="center"/>
          </w:tcPr>
          <w:p w14:paraId="33200D44">
            <w:pPr>
              <w:pStyle w:val="15"/>
              <w:tabs>
                <w:tab w:val="left" w:pos="1620"/>
                <w:tab w:val="left" w:pos="7200"/>
              </w:tabs>
              <w:snapToGrid w:val="0"/>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室内型AP</w:t>
            </w:r>
          </w:p>
        </w:tc>
        <w:tc>
          <w:tcPr>
            <w:tcW w:w="4796" w:type="dxa"/>
            <w:shd w:val="clear" w:color="auto" w:fill="auto"/>
            <w:vAlign w:val="center"/>
          </w:tcPr>
          <w:p w14:paraId="7EF0BFB5">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电源要求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支持POE方式供电</w:t>
            </w:r>
            <w:r>
              <w:rPr>
                <w:rFonts w:hint="eastAsia" w:ascii="宋体" w:hAnsi="宋体" w:eastAsia="宋体" w:cs="宋体"/>
                <w:sz w:val="24"/>
                <w:szCs w:val="24"/>
                <w:highlight w:val="none"/>
                <w:lang w:eastAsia="zh-CN"/>
              </w:rPr>
              <w:t>；</w:t>
            </w:r>
          </w:p>
          <w:p w14:paraId="324D5611">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工作射频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为保证整机接入用户数，要求采用双频设计，可同时工作在802.11a/b/g/n/ac/ac wave2/ax等模式</w:t>
            </w:r>
            <w:r>
              <w:rPr>
                <w:rFonts w:hint="eastAsia" w:ascii="宋体" w:hAnsi="宋体" w:eastAsia="宋体" w:cs="宋体"/>
                <w:sz w:val="24"/>
                <w:szCs w:val="24"/>
                <w:highlight w:val="none"/>
                <w:lang w:eastAsia="zh-CN"/>
              </w:rPr>
              <w:t>；</w:t>
            </w:r>
          </w:p>
          <w:p w14:paraId="566F8720">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协商速率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整机协商速率≥1.166Gbps</w:t>
            </w:r>
            <w:r>
              <w:rPr>
                <w:rFonts w:hint="eastAsia" w:ascii="宋体" w:hAnsi="宋体" w:eastAsia="宋体" w:cs="宋体"/>
                <w:sz w:val="24"/>
                <w:szCs w:val="24"/>
                <w:highlight w:val="none"/>
                <w:lang w:eastAsia="zh-CN"/>
              </w:rPr>
              <w:t>；</w:t>
            </w:r>
          </w:p>
          <w:p w14:paraId="0BF8554A">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接口设计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千兆以太网接口数量≥2</w:t>
            </w:r>
            <w:r>
              <w:rPr>
                <w:rFonts w:hint="eastAsia" w:ascii="宋体" w:hAnsi="宋体" w:eastAsia="宋体" w:cs="宋体"/>
                <w:sz w:val="24"/>
                <w:szCs w:val="24"/>
                <w:highlight w:val="none"/>
                <w:lang w:eastAsia="zh-CN"/>
              </w:rPr>
              <w:t>；</w:t>
            </w:r>
          </w:p>
          <w:p w14:paraId="7C301E30">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接口配置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配置2个千兆以太网接口模块</w:t>
            </w:r>
            <w:r>
              <w:rPr>
                <w:rFonts w:hint="eastAsia" w:ascii="宋体" w:hAnsi="宋体" w:eastAsia="宋体" w:cs="宋体"/>
                <w:sz w:val="24"/>
                <w:szCs w:val="24"/>
                <w:highlight w:val="none"/>
                <w:lang w:eastAsia="zh-CN"/>
              </w:rPr>
              <w:t>；</w:t>
            </w:r>
          </w:p>
          <w:p w14:paraId="261C81C6">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天线设计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内置智能全向天线</w:t>
            </w:r>
            <w:r>
              <w:rPr>
                <w:rFonts w:hint="eastAsia" w:ascii="宋体" w:hAnsi="宋体" w:eastAsia="宋体" w:cs="宋体"/>
                <w:sz w:val="24"/>
                <w:szCs w:val="24"/>
                <w:highlight w:val="none"/>
                <w:lang w:eastAsia="zh-CN"/>
              </w:rPr>
              <w:t>；</w:t>
            </w:r>
          </w:p>
          <w:p w14:paraId="7DEB4923">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接入规格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整机接入用户规格≥512</w:t>
            </w:r>
            <w:r>
              <w:rPr>
                <w:rFonts w:hint="eastAsia" w:ascii="宋体" w:hAnsi="宋体" w:eastAsia="宋体" w:cs="宋体"/>
                <w:sz w:val="24"/>
                <w:szCs w:val="24"/>
                <w:highlight w:val="none"/>
                <w:lang w:eastAsia="zh-CN"/>
              </w:rPr>
              <w:t>；</w:t>
            </w:r>
          </w:p>
          <w:p w14:paraId="72981999">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认证特性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支持WAPI认证、MAC 地址认证、Portal认证、MAC+Protal混合认证和符合GB/T 15629.3等相关国家标准要求的认证方法</w:t>
            </w:r>
            <w:r>
              <w:rPr>
                <w:rFonts w:hint="eastAsia" w:ascii="宋体" w:hAnsi="宋体" w:eastAsia="宋体" w:cs="宋体"/>
                <w:sz w:val="24"/>
                <w:szCs w:val="24"/>
                <w:highlight w:val="none"/>
                <w:lang w:eastAsia="zh-CN"/>
              </w:rPr>
              <w:t>；</w:t>
            </w:r>
          </w:p>
          <w:p w14:paraId="5EEA6EA4">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空口要求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要求SSID数≥16、SSID 配置 VLAN、SSID 内终端隔离、信号强度检测门阀、5G 优先、发射功率调整、QoS 功能、支持SSID隐藏等功能</w:t>
            </w:r>
            <w:r>
              <w:rPr>
                <w:rFonts w:hint="eastAsia" w:ascii="宋体" w:hAnsi="宋体" w:eastAsia="宋体" w:cs="宋体"/>
                <w:sz w:val="24"/>
                <w:szCs w:val="24"/>
                <w:highlight w:val="none"/>
                <w:lang w:eastAsia="zh-CN"/>
              </w:rPr>
              <w:t>；</w:t>
            </w:r>
          </w:p>
          <w:p w14:paraId="50FA4955">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防护等级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设备支持IP41防护级别</w:t>
            </w:r>
            <w:r>
              <w:rPr>
                <w:rFonts w:hint="eastAsia" w:ascii="宋体" w:hAnsi="宋体" w:eastAsia="宋体" w:cs="宋体"/>
                <w:sz w:val="24"/>
                <w:szCs w:val="24"/>
                <w:highlight w:val="none"/>
                <w:lang w:eastAsia="zh-CN"/>
              </w:rPr>
              <w:t>；</w:t>
            </w:r>
          </w:p>
          <w:p w14:paraId="5BFE7715">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工作温度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室内型工作温度支持-10ºC～50ºC</w:t>
            </w:r>
            <w:r>
              <w:rPr>
                <w:rFonts w:hint="eastAsia" w:ascii="宋体" w:hAnsi="宋体" w:eastAsia="宋体" w:cs="宋体"/>
                <w:sz w:val="24"/>
                <w:szCs w:val="24"/>
                <w:highlight w:val="none"/>
                <w:lang w:eastAsia="zh-CN"/>
              </w:rPr>
              <w:t>；</w:t>
            </w:r>
          </w:p>
          <w:p w14:paraId="04837DC0">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远程控制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支持远程复位重启置，支持使能或禁用无线网络</w:t>
            </w:r>
            <w:r>
              <w:rPr>
                <w:rFonts w:hint="eastAsia" w:ascii="宋体" w:hAnsi="宋体" w:eastAsia="宋体" w:cs="宋体"/>
                <w:sz w:val="24"/>
                <w:szCs w:val="24"/>
                <w:highlight w:val="none"/>
                <w:lang w:eastAsia="zh-CN"/>
              </w:rPr>
              <w:t>；</w:t>
            </w:r>
          </w:p>
          <w:p w14:paraId="60E32093">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逃生功能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本地转发模式下，支持AP逃生功能，当CAPWAP隧道中断，已在线终端不掉线，业务不中断</w:t>
            </w:r>
            <w:r>
              <w:rPr>
                <w:rFonts w:hint="eastAsia" w:ascii="宋体" w:hAnsi="宋体" w:eastAsia="宋体" w:cs="宋体"/>
                <w:sz w:val="24"/>
                <w:szCs w:val="24"/>
                <w:highlight w:val="none"/>
                <w:lang w:eastAsia="zh-CN"/>
              </w:rPr>
              <w:t>；</w:t>
            </w:r>
          </w:p>
          <w:p w14:paraId="519E4CD0">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漫游功能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支持无线漫游，用户在同一控制器下终端之间切换保证用户业务不中断，丢包率不大于3%</w:t>
            </w:r>
            <w:r>
              <w:rPr>
                <w:rFonts w:hint="eastAsia" w:ascii="宋体" w:hAnsi="宋体" w:eastAsia="宋体" w:cs="宋体"/>
                <w:sz w:val="24"/>
                <w:szCs w:val="24"/>
                <w:highlight w:val="none"/>
                <w:lang w:eastAsia="zh-CN"/>
              </w:rPr>
              <w:t>；</w:t>
            </w:r>
          </w:p>
          <w:p w14:paraId="26181FDC">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配置与升级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支持远程复位重启、恢复出厂设置，支持使能或禁用无线网络，支持远程网络诊断；支持批量配置和单独进行配置；支持批量化固件升级和单独固件升级</w:t>
            </w:r>
            <w:r>
              <w:rPr>
                <w:rFonts w:hint="eastAsia" w:ascii="宋体" w:hAnsi="宋体" w:eastAsia="宋体" w:cs="宋体"/>
                <w:sz w:val="24"/>
                <w:szCs w:val="24"/>
                <w:highlight w:val="none"/>
                <w:lang w:eastAsia="zh-CN"/>
              </w:rPr>
              <w:t>；</w:t>
            </w:r>
          </w:p>
          <w:p w14:paraId="5E444F17">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网络管理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支持第三方综合网管对终端的配置和管理，对终端参数信息的配置，主要包括：黑白名单、优先级、射频配置、信道选择等功能</w:t>
            </w:r>
            <w:r>
              <w:rPr>
                <w:rFonts w:hint="eastAsia" w:ascii="宋体" w:hAnsi="宋体" w:eastAsia="宋体" w:cs="宋体"/>
                <w:sz w:val="24"/>
                <w:szCs w:val="24"/>
                <w:highlight w:val="none"/>
                <w:lang w:eastAsia="zh-CN"/>
              </w:rPr>
              <w:t>；</w:t>
            </w:r>
          </w:p>
          <w:p w14:paraId="6E1D0E87">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互联互通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可实现与异品牌控制器互联互通，开放数据采集功能，具备跨品牌控制器集中控制功能；支持与异品牌控制器的证书认证、业务数据加密、回传接入认证、终端间认证漫游、逃生等功能</w:t>
            </w:r>
            <w:r>
              <w:rPr>
                <w:rFonts w:hint="eastAsia" w:ascii="宋体" w:hAnsi="宋体" w:eastAsia="宋体" w:cs="宋体"/>
                <w:sz w:val="24"/>
                <w:szCs w:val="24"/>
                <w:highlight w:val="none"/>
                <w:lang w:eastAsia="zh-CN"/>
              </w:rPr>
              <w:t>；</w:t>
            </w:r>
          </w:p>
          <w:p w14:paraId="5BED41C6">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安装方式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支持壁挂、吸顶安装方式</w:t>
            </w:r>
            <w:r>
              <w:rPr>
                <w:rFonts w:hint="eastAsia" w:ascii="宋体" w:hAnsi="宋体" w:eastAsia="宋体" w:cs="宋体"/>
                <w:sz w:val="24"/>
                <w:szCs w:val="24"/>
                <w:highlight w:val="none"/>
                <w:lang w:eastAsia="zh-CN"/>
              </w:rPr>
              <w:t>。</w:t>
            </w:r>
          </w:p>
        </w:tc>
        <w:tc>
          <w:tcPr>
            <w:tcW w:w="871" w:type="dxa"/>
            <w:shd w:val="clear" w:color="auto" w:fill="auto"/>
            <w:vAlign w:val="center"/>
          </w:tcPr>
          <w:p w14:paraId="7538E562">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台</w:t>
            </w:r>
          </w:p>
        </w:tc>
        <w:tc>
          <w:tcPr>
            <w:tcW w:w="789" w:type="dxa"/>
            <w:shd w:val="clear" w:color="auto" w:fill="auto"/>
            <w:vAlign w:val="center"/>
          </w:tcPr>
          <w:p w14:paraId="03FCBF47">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2478</w:t>
            </w:r>
          </w:p>
        </w:tc>
        <w:tc>
          <w:tcPr>
            <w:tcW w:w="1238" w:type="dxa"/>
            <w:shd w:val="clear" w:color="auto" w:fill="auto"/>
            <w:vAlign w:val="center"/>
          </w:tcPr>
          <w:p w14:paraId="74ED8CA5">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日内</w:t>
            </w:r>
          </w:p>
        </w:tc>
        <w:tc>
          <w:tcPr>
            <w:tcW w:w="1244" w:type="dxa"/>
            <w:vAlign w:val="center"/>
          </w:tcPr>
          <w:p w14:paraId="7F4ECFE9">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36</w:t>
            </w:r>
            <w:r>
              <w:rPr>
                <w:rFonts w:hint="eastAsia" w:ascii="宋体" w:hAnsi="宋体" w:eastAsia="宋体" w:cs="宋体"/>
                <w:kern w:val="0"/>
                <w:sz w:val="24"/>
                <w:szCs w:val="24"/>
                <w:highlight w:val="none"/>
              </w:rPr>
              <w:t>个月</w:t>
            </w:r>
          </w:p>
        </w:tc>
        <w:tc>
          <w:tcPr>
            <w:tcW w:w="771" w:type="dxa"/>
            <w:shd w:val="clear" w:color="auto" w:fill="auto"/>
            <w:vAlign w:val="center"/>
          </w:tcPr>
          <w:p w14:paraId="5F933089">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116" w:type="dxa"/>
            <w:vMerge w:val="restart"/>
            <w:shd w:val="clear" w:color="auto" w:fill="auto"/>
            <w:vAlign w:val="center"/>
          </w:tcPr>
          <w:p w14:paraId="7A60CA88">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业绩要求：</w:t>
            </w:r>
            <w:r>
              <w:rPr>
                <w:rFonts w:hint="eastAsia" w:ascii="宋体" w:hAnsi="宋体" w:eastAsia="宋体" w:cs="宋体"/>
                <w:color w:val="auto"/>
                <w:kern w:val="0"/>
                <w:sz w:val="24"/>
                <w:szCs w:val="24"/>
                <w:highlight w:val="none"/>
                <w:lang w:val="en-US" w:eastAsia="zh-CN"/>
              </w:rPr>
              <w:t>2022年至采购项目报名截止日止</w:t>
            </w:r>
            <w:r>
              <w:rPr>
                <w:rFonts w:hint="eastAsia" w:ascii="宋体" w:hAnsi="宋体" w:eastAsia="宋体" w:cs="宋体"/>
                <w:color w:val="auto"/>
                <w:kern w:val="0"/>
                <w:sz w:val="24"/>
                <w:szCs w:val="24"/>
                <w:highlight w:val="none"/>
                <w:lang w:eastAsia="zh-CN"/>
              </w:rPr>
              <w:t>，完成过</w:t>
            </w:r>
            <w:r>
              <w:rPr>
                <w:rFonts w:hint="eastAsia" w:ascii="宋体" w:hAnsi="宋体" w:eastAsia="宋体" w:cs="宋体"/>
                <w:color w:val="auto"/>
                <w:kern w:val="0"/>
                <w:sz w:val="24"/>
                <w:szCs w:val="24"/>
                <w:highlight w:val="none"/>
                <w:lang w:val="en-US" w:eastAsia="zh-CN"/>
              </w:rPr>
              <w:t>通信设备销售</w:t>
            </w:r>
            <w:r>
              <w:rPr>
                <w:rFonts w:hint="eastAsia" w:ascii="宋体" w:hAnsi="宋体" w:eastAsia="宋体" w:cs="宋体"/>
                <w:color w:val="auto"/>
                <w:kern w:val="0"/>
                <w:sz w:val="24"/>
                <w:szCs w:val="24"/>
                <w:highlight w:val="none"/>
                <w:lang w:eastAsia="zh-CN"/>
              </w:rPr>
              <w:t>相类似业绩</w:t>
            </w:r>
            <w:r>
              <w:rPr>
                <w:rFonts w:hint="eastAsia" w:ascii="宋体" w:hAnsi="宋体" w:eastAsia="宋体" w:cs="宋体"/>
                <w:color w:val="auto"/>
                <w:kern w:val="0"/>
                <w:sz w:val="24"/>
                <w:szCs w:val="24"/>
                <w:highlight w:val="none"/>
                <w:lang w:val="en-US" w:eastAsia="zh-CN"/>
              </w:rPr>
              <w:t>不少于1份，累计金额不低于100万元</w:t>
            </w:r>
            <w:r>
              <w:rPr>
                <w:rFonts w:hint="eastAsia" w:ascii="宋体" w:hAnsi="宋体" w:eastAsia="宋体" w:cs="宋体"/>
                <w:color w:val="auto"/>
                <w:kern w:val="0"/>
                <w:sz w:val="24"/>
                <w:szCs w:val="24"/>
                <w:highlight w:val="none"/>
                <w:lang w:eastAsia="zh-CN"/>
              </w:rPr>
              <w:t>。注:业绩必须提供对应的合同复印件、发票和相应查验截图。</w:t>
            </w:r>
          </w:p>
        </w:tc>
      </w:tr>
      <w:tr w14:paraId="77E2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5" w:hRule="atLeast"/>
          <w:jc w:val="center"/>
        </w:trPr>
        <w:tc>
          <w:tcPr>
            <w:tcW w:w="1242" w:type="dxa"/>
            <w:vMerge w:val="continue"/>
            <w:vAlign w:val="center"/>
          </w:tcPr>
          <w:p w14:paraId="59303D94">
            <w:pPr>
              <w:widowControl/>
              <w:jc w:val="center"/>
              <w:rPr>
                <w:rFonts w:hint="eastAsia" w:ascii="宋体" w:hAnsi="宋体" w:eastAsia="宋体" w:cs="宋体"/>
                <w:color w:val="000000"/>
                <w:kern w:val="0"/>
                <w:sz w:val="24"/>
                <w:szCs w:val="24"/>
                <w:highlight w:val="none"/>
                <w:lang w:bidi="ar"/>
              </w:rPr>
            </w:pPr>
          </w:p>
        </w:tc>
        <w:tc>
          <w:tcPr>
            <w:tcW w:w="1238" w:type="dxa"/>
            <w:shd w:val="clear" w:color="auto" w:fill="auto"/>
            <w:vAlign w:val="center"/>
          </w:tcPr>
          <w:p w14:paraId="6D56F9A3">
            <w:pPr>
              <w:pStyle w:val="15"/>
              <w:tabs>
                <w:tab w:val="left" w:pos="1620"/>
                <w:tab w:val="left" w:pos="7200"/>
              </w:tabs>
              <w:snapToGrid w:val="0"/>
              <w:spacing w:before="0"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室外双频AP（不含光模块）</w:t>
            </w:r>
          </w:p>
        </w:tc>
        <w:tc>
          <w:tcPr>
            <w:tcW w:w="4796" w:type="dxa"/>
            <w:shd w:val="clear" w:color="auto" w:fill="auto"/>
            <w:vAlign w:val="center"/>
          </w:tcPr>
          <w:p w14:paraId="44D255BB">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电源要求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支持POE方式供电</w:t>
            </w:r>
            <w:r>
              <w:rPr>
                <w:rFonts w:hint="eastAsia" w:ascii="宋体" w:hAnsi="宋体" w:eastAsia="宋体" w:cs="宋体"/>
                <w:sz w:val="24"/>
                <w:szCs w:val="24"/>
                <w:highlight w:val="none"/>
                <w:lang w:eastAsia="zh-CN"/>
              </w:rPr>
              <w:t>；</w:t>
            </w:r>
          </w:p>
          <w:p w14:paraId="6D71C40C">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工作射频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为保证整机接入用户数，要求采用双频设计，可同时工作在802.11a/b/g/n/ac/ac wave2/ax等模式</w:t>
            </w:r>
            <w:r>
              <w:rPr>
                <w:rFonts w:hint="eastAsia" w:ascii="宋体" w:hAnsi="宋体" w:eastAsia="宋体" w:cs="宋体"/>
                <w:sz w:val="24"/>
                <w:szCs w:val="24"/>
                <w:highlight w:val="none"/>
                <w:lang w:eastAsia="zh-CN"/>
              </w:rPr>
              <w:t>；</w:t>
            </w:r>
          </w:p>
          <w:p w14:paraId="1D7EDBBD">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协商速率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整机协商速率≥1.166Gbps</w:t>
            </w:r>
            <w:r>
              <w:rPr>
                <w:rFonts w:hint="eastAsia" w:ascii="宋体" w:hAnsi="宋体" w:eastAsia="宋体" w:cs="宋体"/>
                <w:sz w:val="24"/>
                <w:szCs w:val="24"/>
                <w:highlight w:val="none"/>
                <w:lang w:eastAsia="zh-CN"/>
              </w:rPr>
              <w:t>；</w:t>
            </w:r>
          </w:p>
          <w:p w14:paraId="25D2A0EA">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接口设计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千兆以太网接口数量≥1，千兆单模光口接口数量≥1</w:t>
            </w:r>
            <w:r>
              <w:rPr>
                <w:rFonts w:hint="eastAsia" w:ascii="宋体" w:hAnsi="宋体" w:eastAsia="宋体" w:cs="宋体"/>
                <w:sz w:val="24"/>
                <w:szCs w:val="24"/>
                <w:highlight w:val="none"/>
                <w:lang w:eastAsia="zh-CN"/>
              </w:rPr>
              <w:t>；</w:t>
            </w:r>
          </w:p>
          <w:p w14:paraId="4F2F1C11">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接口配置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配置2个千兆以太网接口模块</w:t>
            </w:r>
            <w:r>
              <w:rPr>
                <w:rFonts w:hint="eastAsia" w:ascii="宋体" w:hAnsi="宋体" w:eastAsia="宋体" w:cs="宋体"/>
                <w:sz w:val="24"/>
                <w:szCs w:val="24"/>
                <w:highlight w:val="none"/>
                <w:lang w:eastAsia="zh-CN"/>
              </w:rPr>
              <w:t>；</w:t>
            </w:r>
          </w:p>
          <w:p w14:paraId="35BCCC16">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天线设计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内置智能全向或定向天线，可外置全向或定向天线，满足现场全向天线或定向天线应用需求</w:t>
            </w:r>
            <w:r>
              <w:rPr>
                <w:rFonts w:hint="eastAsia" w:ascii="宋体" w:hAnsi="宋体" w:eastAsia="宋体" w:cs="宋体"/>
                <w:sz w:val="24"/>
                <w:szCs w:val="24"/>
                <w:highlight w:val="none"/>
                <w:lang w:eastAsia="zh-CN"/>
              </w:rPr>
              <w:t>；</w:t>
            </w:r>
          </w:p>
          <w:p w14:paraId="28E23FA5">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防雷要求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配置天馈线防雷模块，满足GB 50343《建筑物电子信息系统防雷技术规范》要求</w:t>
            </w:r>
            <w:r>
              <w:rPr>
                <w:rFonts w:hint="eastAsia" w:ascii="宋体" w:hAnsi="宋体" w:eastAsia="宋体" w:cs="宋体"/>
                <w:sz w:val="24"/>
                <w:szCs w:val="24"/>
                <w:highlight w:val="none"/>
                <w:lang w:eastAsia="zh-CN"/>
              </w:rPr>
              <w:t>；</w:t>
            </w:r>
          </w:p>
          <w:p w14:paraId="07D19FC8">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接入规格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整机接入用户规格≥512</w:t>
            </w:r>
            <w:r>
              <w:rPr>
                <w:rFonts w:hint="eastAsia" w:ascii="宋体" w:hAnsi="宋体" w:eastAsia="宋体" w:cs="宋体"/>
                <w:sz w:val="24"/>
                <w:szCs w:val="24"/>
                <w:highlight w:val="none"/>
                <w:lang w:eastAsia="zh-CN"/>
              </w:rPr>
              <w:t>；</w:t>
            </w:r>
          </w:p>
          <w:p w14:paraId="091EC5F6">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认证特性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支持WAPI认证、MAC 地址认证、Portal认证、MAC+Protal混合认证和符合GB/T 15629.3等相关国家标准要求的认证方法</w:t>
            </w:r>
            <w:r>
              <w:rPr>
                <w:rFonts w:hint="eastAsia" w:ascii="宋体" w:hAnsi="宋体" w:eastAsia="宋体" w:cs="宋体"/>
                <w:sz w:val="24"/>
                <w:szCs w:val="24"/>
                <w:highlight w:val="none"/>
                <w:lang w:eastAsia="zh-CN"/>
              </w:rPr>
              <w:t>；</w:t>
            </w:r>
          </w:p>
          <w:p w14:paraId="2C1FB8E6">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空口要求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要求SSID数≥16、SSID 配置 VLAN、SSID 内终端隔离、信号强度检测门阀、5G 优先、发射功率调整、QoS 功能、支持SSID隐藏等功能</w:t>
            </w:r>
            <w:r>
              <w:rPr>
                <w:rFonts w:hint="eastAsia" w:ascii="宋体" w:hAnsi="宋体" w:eastAsia="宋体" w:cs="宋体"/>
                <w:sz w:val="24"/>
                <w:szCs w:val="24"/>
                <w:highlight w:val="none"/>
                <w:lang w:eastAsia="zh-CN"/>
              </w:rPr>
              <w:t>；</w:t>
            </w:r>
          </w:p>
          <w:p w14:paraId="2774AA09">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防护等级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设备支持IP68防护级别</w:t>
            </w:r>
            <w:r>
              <w:rPr>
                <w:rFonts w:hint="eastAsia" w:ascii="宋体" w:hAnsi="宋体" w:eastAsia="宋体" w:cs="宋体"/>
                <w:sz w:val="24"/>
                <w:szCs w:val="24"/>
                <w:highlight w:val="none"/>
                <w:lang w:eastAsia="zh-CN"/>
              </w:rPr>
              <w:t>；</w:t>
            </w:r>
          </w:p>
          <w:p w14:paraId="45F5A22F">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工作温度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室外型工作温度支持-40ºC～65ºC</w:t>
            </w:r>
            <w:r>
              <w:rPr>
                <w:rFonts w:hint="eastAsia" w:ascii="宋体" w:hAnsi="宋体" w:eastAsia="宋体" w:cs="宋体"/>
                <w:sz w:val="24"/>
                <w:szCs w:val="24"/>
                <w:highlight w:val="none"/>
                <w:lang w:eastAsia="zh-CN"/>
              </w:rPr>
              <w:t>；</w:t>
            </w:r>
          </w:p>
          <w:p w14:paraId="790FA95E">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远程控制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支持远程复位重启置，支持使能或禁用无线网络</w:t>
            </w:r>
            <w:r>
              <w:rPr>
                <w:rFonts w:hint="eastAsia" w:ascii="宋体" w:hAnsi="宋体" w:eastAsia="宋体" w:cs="宋体"/>
                <w:sz w:val="24"/>
                <w:szCs w:val="24"/>
                <w:highlight w:val="none"/>
                <w:lang w:eastAsia="zh-CN"/>
              </w:rPr>
              <w:t>；</w:t>
            </w:r>
          </w:p>
          <w:p w14:paraId="580F3619">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逃生功能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本地转发模式下，支持AP逃生功能，当CAPWAP隧道中断，已在线终端不掉线，业务不中断</w:t>
            </w:r>
            <w:r>
              <w:rPr>
                <w:rFonts w:hint="eastAsia" w:ascii="宋体" w:hAnsi="宋体" w:eastAsia="宋体" w:cs="宋体"/>
                <w:sz w:val="24"/>
                <w:szCs w:val="24"/>
                <w:highlight w:val="none"/>
                <w:lang w:eastAsia="zh-CN"/>
              </w:rPr>
              <w:t>；</w:t>
            </w:r>
          </w:p>
          <w:p w14:paraId="57FEA104">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漫游功能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支持无线漫游，用户在同一控制器下终端之间切换保证用户业务不中断，丢包率不大于3%</w:t>
            </w:r>
            <w:r>
              <w:rPr>
                <w:rFonts w:hint="eastAsia" w:ascii="宋体" w:hAnsi="宋体" w:eastAsia="宋体" w:cs="宋体"/>
                <w:sz w:val="24"/>
                <w:szCs w:val="24"/>
                <w:highlight w:val="none"/>
                <w:lang w:eastAsia="zh-CN"/>
              </w:rPr>
              <w:t>；</w:t>
            </w:r>
          </w:p>
          <w:p w14:paraId="5CC59A2F">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配置与升级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支持远程复位重启、恢复出厂设置，支持使能或禁用无线网络，支持远程网络诊断；支持批量配置和单独进行配置；支持批量化固件升级和单独固件升级</w:t>
            </w:r>
            <w:r>
              <w:rPr>
                <w:rFonts w:hint="eastAsia" w:ascii="宋体" w:hAnsi="宋体" w:eastAsia="宋体" w:cs="宋体"/>
                <w:sz w:val="24"/>
                <w:szCs w:val="24"/>
                <w:highlight w:val="none"/>
                <w:lang w:eastAsia="zh-CN"/>
              </w:rPr>
              <w:t>；</w:t>
            </w:r>
          </w:p>
          <w:p w14:paraId="18BFB15C">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网络管理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支持第三方综合网管对终端的配置和管理，对终端参数信息的配置，主要包括：黑白名单、优先级、射频配置、信道选择等功能</w:t>
            </w:r>
            <w:r>
              <w:rPr>
                <w:rFonts w:hint="eastAsia" w:ascii="宋体" w:hAnsi="宋体" w:eastAsia="宋体" w:cs="宋体"/>
                <w:sz w:val="24"/>
                <w:szCs w:val="24"/>
                <w:highlight w:val="none"/>
                <w:lang w:eastAsia="zh-CN"/>
              </w:rPr>
              <w:t>；</w:t>
            </w:r>
          </w:p>
          <w:p w14:paraId="04285E13">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安装方式：</w:t>
            </w:r>
            <w:r>
              <w:rPr>
                <w:rFonts w:hint="eastAsia" w:ascii="宋体" w:hAnsi="宋体" w:eastAsia="宋体" w:cs="宋体"/>
                <w:sz w:val="24"/>
                <w:szCs w:val="24"/>
                <w:highlight w:val="none"/>
              </w:rPr>
              <w:t>支持壁挂和抱杆等安装方式</w:t>
            </w:r>
            <w:r>
              <w:rPr>
                <w:rFonts w:hint="eastAsia" w:ascii="宋体" w:hAnsi="宋体" w:eastAsia="宋体" w:cs="宋体"/>
                <w:sz w:val="24"/>
                <w:szCs w:val="24"/>
                <w:highlight w:val="none"/>
                <w:lang w:eastAsia="zh-CN"/>
              </w:rPr>
              <w:t>。</w:t>
            </w:r>
          </w:p>
        </w:tc>
        <w:tc>
          <w:tcPr>
            <w:tcW w:w="871" w:type="dxa"/>
            <w:shd w:val="clear" w:color="auto" w:fill="auto"/>
            <w:vAlign w:val="center"/>
          </w:tcPr>
          <w:p w14:paraId="52C3CBE1">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台</w:t>
            </w:r>
          </w:p>
        </w:tc>
        <w:tc>
          <w:tcPr>
            <w:tcW w:w="789" w:type="dxa"/>
            <w:shd w:val="clear" w:color="auto" w:fill="auto"/>
            <w:vAlign w:val="center"/>
          </w:tcPr>
          <w:p w14:paraId="4A6530AE">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1286</w:t>
            </w:r>
          </w:p>
        </w:tc>
        <w:tc>
          <w:tcPr>
            <w:tcW w:w="1238" w:type="dxa"/>
            <w:shd w:val="clear" w:color="auto" w:fill="auto"/>
            <w:vAlign w:val="center"/>
          </w:tcPr>
          <w:p w14:paraId="1BD04934">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日内</w:t>
            </w:r>
          </w:p>
        </w:tc>
        <w:tc>
          <w:tcPr>
            <w:tcW w:w="1244" w:type="dxa"/>
            <w:vAlign w:val="center"/>
          </w:tcPr>
          <w:p w14:paraId="035FF16B">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36</w:t>
            </w:r>
            <w:r>
              <w:rPr>
                <w:rFonts w:hint="eastAsia" w:ascii="宋体" w:hAnsi="宋体" w:eastAsia="宋体" w:cs="宋体"/>
                <w:kern w:val="0"/>
                <w:sz w:val="24"/>
                <w:szCs w:val="24"/>
                <w:highlight w:val="none"/>
              </w:rPr>
              <w:t>个月</w:t>
            </w:r>
          </w:p>
        </w:tc>
        <w:tc>
          <w:tcPr>
            <w:tcW w:w="771" w:type="dxa"/>
            <w:shd w:val="clear" w:color="auto" w:fill="auto"/>
            <w:vAlign w:val="center"/>
          </w:tcPr>
          <w:p w14:paraId="6B0A6C4C">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116" w:type="dxa"/>
            <w:vMerge w:val="continue"/>
            <w:shd w:val="clear" w:color="auto" w:fill="auto"/>
            <w:vAlign w:val="center"/>
          </w:tcPr>
          <w:p w14:paraId="6B5EEBF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CCE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242" w:type="dxa"/>
            <w:vMerge w:val="continue"/>
            <w:vAlign w:val="center"/>
          </w:tcPr>
          <w:p w14:paraId="3B74120C">
            <w:pPr>
              <w:widowControl/>
              <w:jc w:val="center"/>
              <w:rPr>
                <w:rFonts w:hint="eastAsia" w:ascii="宋体" w:hAnsi="宋体" w:eastAsia="宋体" w:cs="宋体"/>
                <w:b/>
                <w:bCs/>
                <w:kern w:val="0"/>
                <w:sz w:val="24"/>
                <w:szCs w:val="24"/>
                <w:highlight w:val="none"/>
              </w:rPr>
            </w:pPr>
          </w:p>
        </w:tc>
        <w:tc>
          <w:tcPr>
            <w:tcW w:w="1238" w:type="dxa"/>
            <w:shd w:val="clear" w:color="auto" w:fill="auto"/>
            <w:vAlign w:val="center"/>
          </w:tcPr>
          <w:p w14:paraId="4C81AB60">
            <w:pPr>
              <w:pStyle w:val="15"/>
              <w:tabs>
                <w:tab w:val="left" w:pos="1620"/>
                <w:tab w:val="left" w:pos="7200"/>
              </w:tabs>
              <w:snapToGrid w:val="0"/>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光模块</w:t>
            </w:r>
          </w:p>
        </w:tc>
        <w:tc>
          <w:tcPr>
            <w:tcW w:w="4796" w:type="dxa"/>
            <w:shd w:val="clear" w:color="auto" w:fill="auto"/>
            <w:vAlign w:val="center"/>
          </w:tcPr>
          <w:p w14:paraId="77BBC1A8">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工业级SFP</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千兆单模光模块1310nm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最大传输距离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20km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接头类型：LC</w:t>
            </w:r>
            <w:r>
              <w:rPr>
                <w:rFonts w:hint="eastAsia" w:ascii="宋体" w:hAnsi="宋体" w:eastAsia="宋体" w:cs="宋体"/>
                <w:sz w:val="24"/>
                <w:szCs w:val="24"/>
                <w:highlight w:val="none"/>
                <w:lang w:eastAsia="zh-CN"/>
              </w:rPr>
              <w:t>。</w:t>
            </w:r>
          </w:p>
        </w:tc>
        <w:tc>
          <w:tcPr>
            <w:tcW w:w="871" w:type="dxa"/>
            <w:shd w:val="clear" w:color="auto" w:fill="auto"/>
            <w:vAlign w:val="center"/>
          </w:tcPr>
          <w:p w14:paraId="2BD5948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个</w:t>
            </w:r>
          </w:p>
        </w:tc>
        <w:tc>
          <w:tcPr>
            <w:tcW w:w="789" w:type="dxa"/>
            <w:shd w:val="clear" w:color="auto" w:fill="auto"/>
            <w:vAlign w:val="center"/>
          </w:tcPr>
          <w:p w14:paraId="69A177C3">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210</w:t>
            </w:r>
          </w:p>
        </w:tc>
        <w:tc>
          <w:tcPr>
            <w:tcW w:w="1238" w:type="dxa"/>
            <w:shd w:val="clear" w:color="auto" w:fill="auto"/>
            <w:vAlign w:val="center"/>
          </w:tcPr>
          <w:p w14:paraId="3F43F2C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日内</w:t>
            </w:r>
          </w:p>
        </w:tc>
        <w:tc>
          <w:tcPr>
            <w:tcW w:w="1244" w:type="dxa"/>
            <w:vAlign w:val="center"/>
          </w:tcPr>
          <w:p w14:paraId="451374A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36</w:t>
            </w:r>
            <w:r>
              <w:rPr>
                <w:rFonts w:hint="eastAsia" w:ascii="宋体" w:hAnsi="宋体" w:eastAsia="宋体" w:cs="宋体"/>
                <w:kern w:val="0"/>
                <w:sz w:val="24"/>
                <w:szCs w:val="24"/>
                <w:highlight w:val="none"/>
              </w:rPr>
              <w:t>个月</w:t>
            </w:r>
          </w:p>
        </w:tc>
        <w:tc>
          <w:tcPr>
            <w:tcW w:w="771" w:type="dxa"/>
            <w:shd w:val="clear" w:color="auto" w:fill="auto"/>
            <w:vAlign w:val="center"/>
          </w:tcPr>
          <w:p w14:paraId="7B9F69F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116" w:type="dxa"/>
            <w:vMerge w:val="continue"/>
            <w:shd w:val="clear" w:color="auto" w:fill="auto"/>
            <w:vAlign w:val="center"/>
          </w:tcPr>
          <w:p w14:paraId="4567B19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0C4EF68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60E6E684">
      <w:pPr>
        <w:shd w:val="clea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2.投标文件中提供的证明材料复印件应复印清晰、可辨认且不得遮盖、涂抹，否则视为无效。</w:t>
      </w:r>
    </w:p>
    <w:p w14:paraId="38AC3FEF">
      <w:pPr>
        <w:shd w:val="clear"/>
        <w:spacing w:line="24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6909538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3694">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FC71F9">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7FC71F9">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4EF0407A">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4EF0407A">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2BC120E"/>
    <w:rsid w:val="22F71DBE"/>
    <w:rsid w:val="26BD5819"/>
    <w:rsid w:val="28455ABC"/>
    <w:rsid w:val="289C75BC"/>
    <w:rsid w:val="2EBF6414"/>
    <w:rsid w:val="3A2F2590"/>
    <w:rsid w:val="42CE694E"/>
    <w:rsid w:val="4AA15384"/>
    <w:rsid w:val="4ABD7A75"/>
    <w:rsid w:val="4D2E620D"/>
    <w:rsid w:val="4F403134"/>
    <w:rsid w:val="50E64EAF"/>
    <w:rsid w:val="50EC207F"/>
    <w:rsid w:val="511E0452"/>
    <w:rsid w:val="51340035"/>
    <w:rsid w:val="516A3318"/>
    <w:rsid w:val="637846F9"/>
    <w:rsid w:val="65076B48"/>
    <w:rsid w:val="668F4233"/>
    <w:rsid w:val="699B2708"/>
    <w:rsid w:val="6B0F6C92"/>
    <w:rsid w:val="6B8F54C3"/>
    <w:rsid w:val="72A11576"/>
    <w:rsid w:val="746B1D75"/>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样式3"/>
    <w:basedOn w:val="1"/>
    <w:autoRedefine/>
    <w:qFormat/>
    <w:uiPriority w:val="0"/>
    <w:pPr>
      <w:adjustRightInd w:val="0"/>
      <w:spacing w:before="330" w:after="160" w:line="490" w:lineRule="exact"/>
    </w:pPr>
    <w:rPr>
      <w:rFonts w:ascii="Arial" w:hAnsi="Arial" w:eastAsia="黑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6513</Words>
  <Characters>7269</Characters>
  <Lines>0</Lines>
  <Paragraphs>0</Paragraphs>
  <TotalTime>2</TotalTime>
  <ScaleCrop>false</ScaleCrop>
  <LinksUpToDate>false</LinksUpToDate>
  <CharactersWithSpaces>7310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2025-06-27T10:04:26Z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BD1010AB51E04E9A91F5EC4206A93EBA_13</vt:lpwstr>
  </property>
  <property fmtid="{D5CDD505-2E9C-101B-9397-08002B2CF9AE}" pid="4" name="KSOTemplateDocerSaveRecord">
    <vt:lpwstr>eyJoZGlkIjoiNzcwY2M5NGVmY2Y5YTVkMTJmMzEwY2NlODY1MmIwYTMiLCJ1c2VySWQiOiI5NjA4MzkzNTgifQ==</vt:lpwstr>
  </property>
</Properties>
</file>