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12"/>
        <w:tblW w:w="11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93"/>
        <w:gridCol w:w="3669"/>
        <w:gridCol w:w="635"/>
        <w:gridCol w:w="822"/>
        <w:gridCol w:w="991"/>
        <w:gridCol w:w="883"/>
        <w:gridCol w:w="737"/>
        <w:gridCol w:w="1859"/>
      </w:tblGrid>
      <w:tr w14:paraId="6920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5" w:type="dxa"/>
            <w:vAlign w:val="center"/>
          </w:tcPr>
          <w:p w14:paraId="296AF65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93" w:type="dxa"/>
            <w:shd w:val="clear" w:color="auto" w:fill="auto"/>
            <w:vAlign w:val="center"/>
          </w:tcPr>
          <w:p w14:paraId="238445A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3669" w:type="dxa"/>
            <w:shd w:val="clear" w:color="auto" w:fill="auto"/>
            <w:vAlign w:val="center"/>
          </w:tcPr>
          <w:p w14:paraId="5A3F5D2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635" w:type="dxa"/>
            <w:shd w:val="clear" w:color="auto" w:fill="auto"/>
            <w:vAlign w:val="center"/>
          </w:tcPr>
          <w:p w14:paraId="2786FEF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22" w:type="dxa"/>
            <w:shd w:val="clear" w:color="auto" w:fill="auto"/>
            <w:vAlign w:val="center"/>
          </w:tcPr>
          <w:p w14:paraId="46CB7E1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91" w:type="dxa"/>
            <w:shd w:val="clear" w:color="auto" w:fill="auto"/>
            <w:vAlign w:val="center"/>
          </w:tcPr>
          <w:p w14:paraId="4E6EE2C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883" w:type="dxa"/>
            <w:vAlign w:val="center"/>
          </w:tcPr>
          <w:p w14:paraId="620EEA03">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737" w:type="dxa"/>
            <w:shd w:val="clear" w:color="auto" w:fill="auto"/>
            <w:vAlign w:val="center"/>
          </w:tcPr>
          <w:p w14:paraId="1F5539E5">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1859" w:type="dxa"/>
            <w:shd w:val="clear" w:color="auto" w:fill="auto"/>
            <w:vAlign w:val="center"/>
          </w:tcPr>
          <w:p w14:paraId="61EFFB4D">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355A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5" w:type="dxa"/>
            <w:vMerge w:val="restart"/>
            <w:vAlign w:val="center"/>
          </w:tcPr>
          <w:p w14:paraId="75EB599C">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工控机组件、驱动侧转向架等采购项目</w:t>
            </w:r>
          </w:p>
        </w:tc>
        <w:tc>
          <w:tcPr>
            <w:tcW w:w="1293" w:type="dxa"/>
            <w:shd w:val="clear" w:color="auto" w:fill="auto"/>
            <w:vAlign w:val="center"/>
          </w:tcPr>
          <w:p w14:paraId="20CF9E3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从动侧转向架</w:t>
            </w:r>
          </w:p>
        </w:tc>
        <w:tc>
          <w:tcPr>
            <w:tcW w:w="3669" w:type="dxa"/>
            <w:shd w:val="clear" w:color="auto" w:fill="auto"/>
            <w:vAlign w:val="center"/>
          </w:tcPr>
          <w:p w14:paraId="3105664E">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1.表面打砂氧化银白色，去毛刺、锐角倒钝；</w:t>
            </w:r>
          </w:p>
          <w:p w14:paraId="2720F82E">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2.通孔未注圆角R1；</w:t>
            </w:r>
          </w:p>
          <w:p w14:paraId="3C22A929">
            <w:pPr>
              <w:topLinePun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
              </w:rPr>
              <w:t>3.未注公差执行GB1804-m;</w:t>
            </w:r>
          </w:p>
        </w:tc>
        <w:tc>
          <w:tcPr>
            <w:tcW w:w="635" w:type="dxa"/>
            <w:shd w:val="clear" w:color="auto" w:fill="auto"/>
            <w:vAlign w:val="center"/>
          </w:tcPr>
          <w:p w14:paraId="5B667674">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3DAE383F">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615726C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5A629AFE">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7656360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restart"/>
            <w:shd w:val="clear" w:color="auto" w:fill="auto"/>
            <w:vAlign w:val="center"/>
          </w:tcPr>
          <w:p w14:paraId="7F645362">
            <w:pPr>
              <w:widowControl/>
              <w:jc w:val="center"/>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2022年1月1日至投标截止日止，完成过电力机器人或组部件（包括工控机或电机或电池或加工件）相类似业绩不少于1份，累计金额不低于70万元。注:业绩必须提供对应的合同复印件、发票和相应查验截图。</w:t>
            </w:r>
          </w:p>
        </w:tc>
      </w:tr>
      <w:tr w14:paraId="06FF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5" w:type="dxa"/>
            <w:vMerge w:val="continue"/>
            <w:vAlign w:val="center"/>
          </w:tcPr>
          <w:p w14:paraId="50ACD78F">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293" w:type="dxa"/>
            <w:shd w:val="clear" w:color="auto" w:fill="auto"/>
            <w:vAlign w:val="center"/>
          </w:tcPr>
          <w:p w14:paraId="7B98826A">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驱动侧转向架</w:t>
            </w:r>
          </w:p>
        </w:tc>
        <w:tc>
          <w:tcPr>
            <w:tcW w:w="3669" w:type="dxa"/>
            <w:shd w:val="clear" w:color="auto" w:fill="auto"/>
            <w:vAlign w:val="center"/>
          </w:tcPr>
          <w:p w14:paraId="696B15DD">
            <w:pPr>
              <w:topLinePunct/>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1.本色阳极氧化处理，表面无肉眼明显可见的划痕、刮痕、凹坑等缺陷 ；锐角倒钝，去毛刺；</w:t>
            </w:r>
          </w:p>
          <w:p w14:paraId="1A42E7C4">
            <w:pPr>
              <w:topLinePunct/>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eastAsia="zh-CN" w:bidi="ar"/>
              </w:rPr>
              <w:t>2.未注公差按GB/T1804-m；未注形位公差按GB/T1184-K。</w:t>
            </w:r>
          </w:p>
          <w:p w14:paraId="163DDF3F">
            <w:pPr>
              <w:topLinePun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bidi="ar"/>
              </w:rPr>
              <w:t>3.通孔未注倒角0.5X45%%D，未注倒圆角R0.5。</w:t>
            </w:r>
          </w:p>
        </w:tc>
        <w:tc>
          <w:tcPr>
            <w:tcW w:w="635" w:type="dxa"/>
            <w:shd w:val="clear" w:color="auto" w:fill="auto"/>
            <w:vAlign w:val="center"/>
          </w:tcPr>
          <w:p w14:paraId="3DF6E25D">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6DE60EA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7C86A6B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3EC36A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2595F74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5180E033">
            <w:pPr>
              <w:widowControl/>
              <w:jc w:val="center"/>
              <w:rPr>
                <w:rFonts w:hint="eastAsia" w:ascii="宋体" w:hAnsi="宋体" w:eastAsia="宋体" w:cs="宋体"/>
                <w:kern w:val="0"/>
                <w:sz w:val="24"/>
                <w:szCs w:val="24"/>
                <w:highlight w:val="none"/>
              </w:rPr>
            </w:pPr>
          </w:p>
        </w:tc>
      </w:tr>
      <w:tr w14:paraId="6CB8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65" w:type="dxa"/>
            <w:vMerge w:val="continue"/>
            <w:vAlign w:val="center"/>
          </w:tcPr>
          <w:p w14:paraId="21DBDE29">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293" w:type="dxa"/>
            <w:shd w:val="clear" w:color="auto" w:fill="auto"/>
            <w:vAlign w:val="center"/>
          </w:tcPr>
          <w:p w14:paraId="19C98E9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3669" w:type="dxa"/>
            <w:shd w:val="clear" w:color="auto" w:fill="auto"/>
            <w:vAlign w:val="center"/>
          </w:tcPr>
          <w:p w14:paraId="5513BBCB">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
              </w:rPr>
              <w:t>使用电压：DC 5V~13.5V ；使用界面：RS-232: Serial ASCII, 9600, N, 8 ,1；RS-232:Wiegand: 26 bits；Magstripe ISO, ABA TK2,Clock/Data；频率：125KHZ , ASK；格式：64 bits , Manchester coding；尺寸：≤78(长) x 43(宽) x 15(高)mm；操作温度：-25 ~ 65 ℃；读取有效距离不小于 20cm，可挂于墙上。</w:t>
            </w:r>
          </w:p>
        </w:tc>
        <w:tc>
          <w:tcPr>
            <w:tcW w:w="635" w:type="dxa"/>
            <w:shd w:val="clear" w:color="auto" w:fill="auto"/>
            <w:vAlign w:val="center"/>
          </w:tcPr>
          <w:p w14:paraId="712598C1">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28823A7C">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5A9955E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52E046E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47F6EDC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22CF0551">
            <w:pPr>
              <w:widowControl/>
              <w:jc w:val="center"/>
              <w:rPr>
                <w:rFonts w:hint="eastAsia" w:ascii="宋体" w:hAnsi="宋体" w:eastAsia="宋体" w:cs="宋体"/>
                <w:kern w:val="0"/>
                <w:sz w:val="24"/>
                <w:szCs w:val="24"/>
                <w:highlight w:val="none"/>
              </w:rPr>
            </w:pPr>
          </w:p>
        </w:tc>
      </w:tr>
      <w:tr w14:paraId="1010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5" w:type="dxa"/>
            <w:vMerge w:val="continue"/>
            <w:vAlign w:val="center"/>
          </w:tcPr>
          <w:p w14:paraId="312B905A">
            <w:pPr>
              <w:widowControl/>
              <w:jc w:val="center"/>
              <w:rPr>
                <w:rFonts w:hint="eastAsia" w:ascii="宋体" w:hAnsi="宋体" w:eastAsia="宋体" w:cs="宋体"/>
                <w:kern w:val="0"/>
                <w:sz w:val="24"/>
                <w:szCs w:val="24"/>
                <w:highlight w:val="none"/>
              </w:rPr>
            </w:pPr>
          </w:p>
        </w:tc>
        <w:tc>
          <w:tcPr>
            <w:tcW w:w="1293" w:type="dxa"/>
            <w:shd w:val="clear" w:color="auto" w:fill="auto"/>
            <w:vAlign w:val="center"/>
          </w:tcPr>
          <w:p w14:paraId="500E5010">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工控机</w:t>
            </w:r>
          </w:p>
        </w:tc>
        <w:tc>
          <w:tcPr>
            <w:tcW w:w="3669" w:type="dxa"/>
            <w:shd w:val="clear" w:color="auto" w:fill="auto"/>
            <w:vAlign w:val="center"/>
          </w:tcPr>
          <w:p w14:paraId="320E1C97">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CPU：Cortex-A8 1GHz或更高性能CPU；</w:t>
            </w:r>
          </w:p>
          <w:p w14:paraId="3A268023">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内存：板载RAM,容量不小于512MB；</w:t>
            </w:r>
          </w:p>
          <w:p w14:paraId="5E251956">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存储介质：不小于2GB板载Flash；</w:t>
            </w:r>
          </w:p>
          <w:p w14:paraId="5B766670">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网络接口：不少于2个自适应 10/100Mbps以太网接口，接口为RJ45；</w:t>
            </w:r>
          </w:p>
          <w:p w14:paraId="739ED519">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电压输入范围：12-24VDC；</w:t>
            </w:r>
          </w:p>
          <w:p w14:paraId="3A223291">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整机功耗：≤6W；</w:t>
            </w:r>
          </w:p>
          <w:p w14:paraId="631E9861">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重量 ：≤0.5 kg；</w:t>
            </w:r>
          </w:p>
          <w:p w14:paraId="7F76E497">
            <w:pPr>
              <w:topLinePunc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尺寸：≤130mm × 30mm × 130 mm等。</w:t>
            </w:r>
          </w:p>
        </w:tc>
        <w:tc>
          <w:tcPr>
            <w:tcW w:w="635" w:type="dxa"/>
            <w:shd w:val="clear" w:color="auto" w:fill="auto"/>
            <w:vAlign w:val="center"/>
          </w:tcPr>
          <w:p w14:paraId="71E0BFF3">
            <w:pPr>
              <w:widowControl/>
              <w:jc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74AAD1D0">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3F0D9AA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618D9E4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26F23CB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0A63A1A3">
            <w:pPr>
              <w:widowControl/>
              <w:jc w:val="center"/>
              <w:rPr>
                <w:rFonts w:hint="eastAsia" w:ascii="宋体" w:hAnsi="宋体" w:eastAsia="宋体" w:cs="宋体"/>
                <w:kern w:val="0"/>
                <w:sz w:val="24"/>
                <w:szCs w:val="24"/>
                <w:highlight w:val="none"/>
              </w:rPr>
            </w:pPr>
          </w:p>
        </w:tc>
      </w:tr>
      <w:tr w14:paraId="499B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5" w:type="dxa"/>
            <w:vMerge w:val="continue"/>
            <w:vAlign w:val="center"/>
          </w:tcPr>
          <w:p w14:paraId="712786C1">
            <w:pPr>
              <w:widowControl/>
              <w:jc w:val="center"/>
              <w:rPr>
                <w:rFonts w:hint="eastAsia" w:ascii="宋体" w:hAnsi="宋体" w:eastAsia="宋体" w:cs="宋体"/>
                <w:kern w:val="0"/>
                <w:sz w:val="24"/>
                <w:szCs w:val="24"/>
                <w:highlight w:val="none"/>
              </w:rPr>
            </w:pPr>
          </w:p>
        </w:tc>
        <w:tc>
          <w:tcPr>
            <w:tcW w:w="1293" w:type="dxa"/>
            <w:shd w:val="clear" w:color="auto" w:fill="auto"/>
            <w:vAlign w:val="center"/>
          </w:tcPr>
          <w:p w14:paraId="3DE582F2">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主控及载波组件</w:t>
            </w:r>
          </w:p>
        </w:tc>
        <w:tc>
          <w:tcPr>
            <w:tcW w:w="3669" w:type="dxa"/>
            <w:shd w:val="clear" w:color="auto" w:fill="auto"/>
            <w:vAlign w:val="center"/>
          </w:tcPr>
          <w:p w14:paraId="5F101B4A">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运行速度0-0.5m/s；</w:t>
            </w:r>
          </w:p>
          <w:p w14:paraId="3AB27184">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导航定位精度：小于10mm；</w:t>
            </w:r>
          </w:p>
          <w:p w14:paraId="76A3CEAE">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供电方式：轨道取电</w:t>
            </w:r>
          </w:p>
          <w:p w14:paraId="41514DE5">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通讯：电力载波等方式（严禁使用无线）</w:t>
            </w:r>
          </w:p>
          <w:p w14:paraId="4C9A4701">
            <w:pPr>
              <w:topLinePunc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升降行程：≥2m</w:t>
            </w:r>
          </w:p>
          <w:p w14:paraId="00E3EB71">
            <w:pPr>
              <w:topLinePunc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bidi="ar"/>
              </w:rPr>
              <w:t>巡航时间：支持24小时不间断巡视</w:t>
            </w:r>
          </w:p>
        </w:tc>
        <w:tc>
          <w:tcPr>
            <w:tcW w:w="635" w:type="dxa"/>
            <w:shd w:val="clear" w:color="auto" w:fill="auto"/>
            <w:vAlign w:val="center"/>
          </w:tcPr>
          <w:p w14:paraId="06023DF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5568E883">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12FA8E2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55D7749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3637AF6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26A87D88">
            <w:pPr>
              <w:widowControl/>
              <w:jc w:val="center"/>
              <w:rPr>
                <w:rFonts w:hint="eastAsia" w:ascii="宋体" w:hAnsi="宋体" w:eastAsia="宋体" w:cs="宋体"/>
                <w:kern w:val="0"/>
                <w:sz w:val="24"/>
                <w:szCs w:val="24"/>
                <w:highlight w:val="none"/>
              </w:rPr>
            </w:pPr>
          </w:p>
        </w:tc>
      </w:tr>
      <w:tr w14:paraId="09CD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5" w:type="dxa"/>
            <w:vMerge w:val="continue"/>
            <w:vAlign w:val="center"/>
          </w:tcPr>
          <w:p w14:paraId="12FA872B">
            <w:pPr>
              <w:widowControl/>
              <w:jc w:val="center"/>
              <w:rPr>
                <w:rFonts w:hint="eastAsia" w:ascii="宋体" w:hAnsi="宋体" w:eastAsia="宋体" w:cs="宋体"/>
                <w:kern w:val="0"/>
                <w:sz w:val="24"/>
                <w:szCs w:val="24"/>
                <w:highlight w:val="none"/>
              </w:rPr>
            </w:pPr>
          </w:p>
        </w:tc>
        <w:tc>
          <w:tcPr>
            <w:tcW w:w="1293" w:type="dxa"/>
            <w:shd w:val="clear" w:color="auto" w:fill="auto"/>
            <w:vAlign w:val="center"/>
          </w:tcPr>
          <w:p w14:paraId="00AE82D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电源组件</w:t>
            </w:r>
          </w:p>
        </w:tc>
        <w:tc>
          <w:tcPr>
            <w:tcW w:w="3669" w:type="dxa"/>
            <w:shd w:val="clear" w:color="auto" w:fill="auto"/>
            <w:vAlign w:val="center"/>
          </w:tcPr>
          <w:p w14:paraId="5B6D7BE4">
            <w:pPr>
              <w:topLinePunc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bidi="ar"/>
              </w:rPr>
              <w:t>电池组容量：≥12.8Ah；额定电压：21.6V；放电截止电压：16.8V；最大充电电压：25.2V；最大放电电流：15A；最大充电电流：6A；尺寸：≤115*135*48mm</w:t>
            </w:r>
          </w:p>
        </w:tc>
        <w:tc>
          <w:tcPr>
            <w:tcW w:w="635" w:type="dxa"/>
            <w:shd w:val="clear" w:color="auto" w:fill="auto"/>
            <w:vAlign w:val="center"/>
          </w:tcPr>
          <w:p w14:paraId="337CC003">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51220329">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6B5728C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0F57C14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011C995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00BCFC12">
            <w:pPr>
              <w:widowControl/>
              <w:jc w:val="center"/>
              <w:rPr>
                <w:rFonts w:hint="eastAsia" w:ascii="宋体" w:hAnsi="宋体" w:eastAsia="宋体" w:cs="宋体"/>
                <w:kern w:val="0"/>
                <w:sz w:val="24"/>
                <w:szCs w:val="24"/>
                <w:highlight w:val="none"/>
              </w:rPr>
            </w:pPr>
          </w:p>
        </w:tc>
      </w:tr>
      <w:tr w14:paraId="5C74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5" w:type="dxa"/>
            <w:vMerge w:val="continue"/>
            <w:vAlign w:val="center"/>
          </w:tcPr>
          <w:p w14:paraId="4DA0F200">
            <w:pPr>
              <w:widowControl/>
              <w:jc w:val="center"/>
              <w:rPr>
                <w:rFonts w:hint="eastAsia" w:ascii="宋体" w:hAnsi="宋体" w:eastAsia="宋体" w:cs="宋体"/>
                <w:kern w:val="0"/>
                <w:sz w:val="24"/>
                <w:szCs w:val="24"/>
                <w:highlight w:val="none"/>
              </w:rPr>
            </w:pPr>
          </w:p>
        </w:tc>
        <w:tc>
          <w:tcPr>
            <w:tcW w:w="1293" w:type="dxa"/>
            <w:shd w:val="clear" w:color="auto" w:fill="auto"/>
            <w:vAlign w:val="center"/>
          </w:tcPr>
          <w:p w14:paraId="3802B685">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连接平台前壳</w:t>
            </w:r>
          </w:p>
        </w:tc>
        <w:tc>
          <w:tcPr>
            <w:tcW w:w="3669" w:type="dxa"/>
            <w:shd w:val="clear" w:color="auto" w:fill="auto"/>
            <w:vAlign w:val="center"/>
          </w:tcPr>
          <w:p w14:paraId="749C2178">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1.整体壁厚3mm，前壳与中壳配做，通过螺丝连接在一起。</w:t>
            </w:r>
          </w:p>
          <w:p w14:paraId="2940306C">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2.外表面喷漆颜色为：PANTONE WHITE C ，效果：高亮。</w:t>
            </w:r>
          </w:p>
          <w:p w14:paraId="1E0F33B2">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要求漆面完整均匀，无漏喷、漆豆、掉漆、划伤等缺陷；</w:t>
            </w:r>
          </w:p>
          <w:p w14:paraId="5FE764C5">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3.一般未注尺寸公差按照GB/T1804-m。</w:t>
            </w:r>
          </w:p>
          <w:p w14:paraId="71AE6B1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bidi="ar"/>
              </w:rPr>
              <w:t xml:space="preserve">4.防护等级：不低于IP21  </w:t>
            </w:r>
          </w:p>
        </w:tc>
        <w:tc>
          <w:tcPr>
            <w:tcW w:w="635" w:type="dxa"/>
            <w:shd w:val="clear" w:color="auto" w:fill="auto"/>
            <w:vAlign w:val="center"/>
          </w:tcPr>
          <w:p w14:paraId="082EDCCE">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018EDDE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72BB664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34F1EF4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1F03F62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2EF14702">
            <w:pPr>
              <w:widowControl/>
              <w:jc w:val="center"/>
              <w:rPr>
                <w:rFonts w:hint="eastAsia" w:ascii="宋体" w:hAnsi="宋体" w:eastAsia="宋体" w:cs="宋体"/>
                <w:kern w:val="0"/>
                <w:sz w:val="24"/>
                <w:szCs w:val="24"/>
                <w:highlight w:val="none"/>
              </w:rPr>
            </w:pPr>
          </w:p>
        </w:tc>
      </w:tr>
      <w:tr w14:paraId="45C6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5" w:type="dxa"/>
            <w:vMerge w:val="continue"/>
            <w:vAlign w:val="center"/>
          </w:tcPr>
          <w:p w14:paraId="24D8A68E">
            <w:pPr>
              <w:widowControl/>
              <w:jc w:val="center"/>
              <w:rPr>
                <w:rFonts w:hint="eastAsia" w:ascii="宋体" w:hAnsi="宋体" w:eastAsia="宋体" w:cs="宋体"/>
                <w:kern w:val="0"/>
                <w:sz w:val="24"/>
                <w:szCs w:val="24"/>
                <w:highlight w:val="none"/>
              </w:rPr>
            </w:pPr>
          </w:p>
        </w:tc>
        <w:tc>
          <w:tcPr>
            <w:tcW w:w="1293" w:type="dxa"/>
            <w:shd w:val="clear" w:color="auto" w:fill="auto"/>
            <w:vAlign w:val="center"/>
          </w:tcPr>
          <w:p w14:paraId="1E148C51">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连接平台后壳</w:t>
            </w:r>
          </w:p>
        </w:tc>
        <w:tc>
          <w:tcPr>
            <w:tcW w:w="3669" w:type="dxa"/>
            <w:shd w:val="clear" w:color="auto" w:fill="auto"/>
            <w:vAlign w:val="center"/>
          </w:tcPr>
          <w:p w14:paraId="53101DEB">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1.整体壁厚3mm,后壳与中壳配做。</w:t>
            </w:r>
          </w:p>
          <w:p w14:paraId="3521DC85">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2.外表面喷漆颜色为：PANTONE 422 U ，效果：哑光。漆面完整均匀，无漏喷、漆豆、掉漆、划伤等缺陷；如外壳材质透明度较高（可用红色发光二极管通电测试，如果在一般室内照明环境下外部看到透光时），外壳内部应喷深色漆遮光处理。</w:t>
            </w:r>
          </w:p>
          <w:p w14:paraId="6FE87107">
            <w:pPr>
              <w:keepNext w:val="0"/>
              <w:keepLines w:val="0"/>
              <w:widowControl/>
              <w:suppressLineNumbers w:val="0"/>
              <w:jc w:val="left"/>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3.一般未注尺寸公差按照GB/T1804-m。</w:t>
            </w:r>
          </w:p>
          <w:p w14:paraId="42481D4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bidi="ar"/>
              </w:rPr>
              <w:t>4.防护等级：不低于IP21</w:t>
            </w:r>
          </w:p>
        </w:tc>
        <w:tc>
          <w:tcPr>
            <w:tcW w:w="635" w:type="dxa"/>
            <w:shd w:val="clear" w:color="auto" w:fill="auto"/>
            <w:vAlign w:val="center"/>
          </w:tcPr>
          <w:p w14:paraId="273EED2B">
            <w:pPr>
              <w:widowControl/>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822" w:type="dxa"/>
            <w:shd w:val="clear" w:color="auto" w:fill="auto"/>
            <w:vAlign w:val="center"/>
          </w:tcPr>
          <w:p w14:paraId="24C6A478">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21</w:t>
            </w:r>
          </w:p>
        </w:tc>
        <w:tc>
          <w:tcPr>
            <w:tcW w:w="991" w:type="dxa"/>
            <w:shd w:val="clear" w:color="auto" w:fill="auto"/>
            <w:vAlign w:val="center"/>
          </w:tcPr>
          <w:p w14:paraId="3F25582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w:t>
            </w:r>
          </w:p>
        </w:tc>
        <w:tc>
          <w:tcPr>
            <w:tcW w:w="883" w:type="dxa"/>
            <w:vAlign w:val="center"/>
          </w:tcPr>
          <w:p w14:paraId="3BDD71E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个月</w:t>
            </w:r>
          </w:p>
        </w:tc>
        <w:tc>
          <w:tcPr>
            <w:tcW w:w="737" w:type="dxa"/>
            <w:shd w:val="clear" w:color="auto" w:fill="auto"/>
            <w:vAlign w:val="center"/>
          </w:tcPr>
          <w:p w14:paraId="4225386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买方指定地点</w:t>
            </w:r>
          </w:p>
        </w:tc>
        <w:tc>
          <w:tcPr>
            <w:tcW w:w="1859" w:type="dxa"/>
            <w:vMerge w:val="continue"/>
            <w:shd w:val="clear" w:color="auto" w:fill="auto"/>
            <w:vAlign w:val="center"/>
          </w:tcPr>
          <w:p w14:paraId="5A420121">
            <w:pPr>
              <w:widowControl/>
              <w:jc w:val="center"/>
              <w:rPr>
                <w:rFonts w:hint="eastAsia" w:ascii="宋体" w:hAnsi="宋体" w:eastAsia="宋体" w:cs="宋体"/>
                <w:kern w:val="0"/>
                <w:sz w:val="24"/>
                <w:szCs w:val="24"/>
                <w:highlight w:val="none"/>
              </w:rPr>
            </w:pPr>
          </w:p>
        </w:tc>
      </w:tr>
    </w:tbl>
    <w:p w14:paraId="32A87601">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742DA1A">
      <w:pPr>
        <w:pStyle w:val="18"/>
        <w:ind w:firstLine="0" w:firstLineChars="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辅材、及配合项目实施业主要求的其他材料。</w:t>
      </w:r>
    </w:p>
    <w:p w14:paraId="1BD481C7">
      <w:pPr>
        <w:pStyle w:val="1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9"/>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9"/>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6B4937"/>
    <w:rsid w:val="04707138"/>
    <w:rsid w:val="04860D8F"/>
    <w:rsid w:val="07563215"/>
    <w:rsid w:val="0A8B5858"/>
    <w:rsid w:val="0C9566ED"/>
    <w:rsid w:val="0F651213"/>
    <w:rsid w:val="10C017AC"/>
    <w:rsid w:val="11EF4173"/>
    <w:rsid w:val="12806F79"/>
    <w:rsid w:val="16267F4A"/>
    <w:rsid w:val="17252504"/>
    <w:rsid w:val="17832749"/>
    <w:rsid w:val="17AD22B2"/>
    <w:rsid w:val="188E6C44"/>
    <w:rsid w:val="18E776A7"/>
    <w:rsid w:val="22BC120E"/>
    <w:rsid w:val="22F71DBE"/>
    <w:rsid w:val="26BD5819"/>
    <w:rsid w:val="28455ABC"/>
    <w:rsid w:val="2EBF6414"/>
    <w:rsid w:val="34C22B82"/>
    <w:rsid w:val="3A2F2590"/>
    <w:rsid w:val="42CE694E"/>
    <w:rsid w:val="46E40FDD"/>
    <w:rsid w:val="48A84B6C"/>
    <w:rsid w:val="4AA15384"/>
    <w:rsid w:val="4ABD7A75"/>
    <w:rsid w:val="4D2E620D"/>
    <w:rsid w:val="4F403134"/>
    <w:rsid w:val="50E64EAF"/>
    <w:rsid w:val="50EC207F"/>
    <w:rsid w:val="511E0452"/>
    <w:rsid w:val="51340035"/>
    <w:rsid w:val="516A3318"/>
    <w:rsid w:val="528F6E05"/>
    <w:rsid w:val="5FA41BF6"/>
    <w:rsid w:val="637846F9"/>
    <w:rsid w:val="668F4233"/>
    <w:rsid w:val="699B2708"/>
    <w:rsid w:val="6B0F6C92"/>
    <w:rsid w:val="6B8F54C3"/>
    <w:rsid w:val="6DD75C88"/>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customStyle="1" w:styleId="5">
    <w:name w:val="正文缩进1"/>
    <w:basedOn w:val="1"/>
    <w:qFormat/>
    <w:uiPriority w:val="0"/>
    <w:pPr>
      <w:spacing w:line="500" w:lineRule="exact"/>
      <w:ind w:firstLine="420"/>
    </w:pPr>
    <w:rPr>
      <w:sz w:val="28"/>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szCs w:val="24"/>
    </w:rPr>
  </w:style>
  <w:style w:type="paragraph" w:styleId="8">
    <w:name w:val="Body Text Indent"/>
    <w:basedOn w:val="1"/>
    <w:autoRedefine/>
    <w:qFormat/>
    <w:uiPriority w:val="0"/>
    <w:pPr>
      <w:spacing w:after="120"/>
      <w:ind w:left="420"/>
    </w:pPr>
    <w:rPr>
      <w:sz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autoRedefine/>
    <w:qFormat/>
    <w:uiPriority w:val="0"/>
    <w:pPr>
      <w:ind w:firstLine="420"/>
    </w:pPr>
  </w:style>
  <w:style w:type="character" w:styleId="14">
    <w:name w:val="Hyperlink"/>
    <w:autoRedefine/>
    <w:qFormat/>
    <w:uiPriority w:val="99"/>
    <w:rPr>
      <w:color w:val="0000FF"/>
      <w:u w:val="single"/>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7">
    <w:name w:val="No Spacing"/>
    <w:autoRedefine/>
    <w:qFormat/>
    <w:uiPriority w:val="1"/>
    <w:rPr>
      <w:rFonts w:ascii="宋体" w:hAnsi="宋体" w:eastAsia="宋体" w:cs="宋体"/>
      <w:kern w:val="0"/>
      <w:sz w:val="24"/>
      <w:szCs w:val="24"/>
      <w:lang w:val="en-US" w:eastAsia="zh-CN" w:bidi="ar-SA"/>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6064</Words>
  <Characters>6923</Characters>
  <Lines>0</Lines>
  <Paragraphs>0</Paragraphs>
  <TotalTime>1</TotalTime>
  <ScaleCrop>false</ScaleCrop>
  <LinksUpToDate>false</LinksUpToDate>
  <CharactersWithSpaces>6992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55A76703BAF643DE80E9A62C03B3CF14_13</vt:lpwstr>
  </property>
  <property fmtid="{D5CDD505-2E9C-101B-9397-08002B2CF9AE}" pid="4" name="KSOTemplateDocerSaveRecord">
    <vt:lpwstr>eyJoZGlkIjoiMzcwNjJhMjRjNDdiZDcxN2YwM2E3NTkwZGEwYzQ4ZjMiLCJ1c2VySWQiOiIxMTMxODAxOTk4In0=</vt:lpwstr>
  </property>
</Properties>
</file>