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10"/>
        <w:tblW w:w="12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16"/>
        <w:gridCol w:w="3297"/>
        <w:gridCol w:w="604"/>
        <w:gridCol w:w="567"/>
        <w:gridCol w:w="709"/>
        <w:gridCol w:w="1345"/>
        <w:gridCol w:w="1449"/>
        <w:gridCol w:w="2691"/>
      </w:tblGrid>
      <w:tr w14:paraId="2854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96" w:type="dxa"/>
            <w:vAlign w:val="center"/>
          </w:tcPr>
          <w:p w14:paraId="619CEBD5">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1216" w:type="dxa"/>
            <w:shd w:val="clear" w:color="auto" w:fill="auto"/>
            <w:vAlign w:val="center"/>
          </w:tcPr>
          <w:p w14:paraId="5A5C914F">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物资名称</w:t>
            </w:r>
          </w:p>
        </w:tc>
        <w:tc>
          <w:tcPr>
            <w:tcW w:w="3297" w:type="dxa"/>
            <w:shd w:val="clear" w:color="auto" w:fill="auto"/>
            <w:vAlign w:val="center"/>
          </w:tcPr>
          <w:p w14:paraId="4818A3E2">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主要技术要求</w:t>
            </w:r>
          </w:p>
        </w:tc>
        <w:tc>
          <w:tcPr>
            <w:tcW w:w="604" w:type="dxa"/>
            <w:shd w:val="clear" w:color="auto" w:fill="auto"/>
            <w:vAlign w:val="center"/>
          </w:tcPr>
          <w:p w14:paraId="34F57112">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w:t>
            </w:r>
          </w:p>
        </w:tc>
        <w:tc>
          <w:tcPr>
            <w:tcW w:w="567" w:type="dxa"/>
            <w:shd w:val="clear" w:color="auto" w:fill="auto"/>
            <w:vAlign w:val="center"/>
          </w:tcPr>
          <w:p w14:paraId="7882628D">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709" w:type="dxa"/>
            <w:shd w:val="clear" w:color="auto" w:fill="auto"/>
            <w:vAlign w:val="center"/>
          </w:tcPr>
          <w:p w14:paraId="45AB2535">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交货日期</w:t>
            </w:r>
          </w:p>
        </w:tc>
        <w:tc>
          <w:tcPr>
            <w:tcW w:w="1345" w:type="dxa"/>
            <w:vAlign w:val="center"/>
          </w:tcPr>
          <w:p w14:paraId="18394FB5">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质保期（不低于）</w:t>
            </w:r>
          </w:p>
        </w:tc>
        <w:tc>
          <w:tcPr>
            <w:tcW w:w="1449" w:type="dxa"/>
            <w:shd w:val="clear" w:color="auto" w:fill="auto"/>
            <w:vAlign w:val="center"/>
          </w:tcPr>
          <w:p w14:paraId="5CB8AE08">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交货地点</w:t>
            </w:r>
          </w:p>
        </w:tc>
        <w:tc>
          <w:tcPr>
            <w:tcW w:w="2691" w:type="dxa"/>
            <w:shd w:val="clear" w:color="auto" w:fill="auto"/>
            <w:vAlign w:val="center"/>
          </w:tcPr>
          <w:p w14:paraId="23A5EF5B">
            <w:pPr>
              <w:widowControl/>
              <w:snapToGrid w:val="0"/>
              <w:ind w:firstLine="0" w:firstLineChars="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专用业绩要求</w:t>
            </w:r>
          </w:p>
        </w:tc>
      </w:tr>
      <w:tr w14:paraId="07CA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vMerge w:val="restart"/>
            <w:vAlign w:val="center"/>
          </w:tcPr>
          <w:p w14:paraId="4BDA9D9C">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信息采集、记录等模组采购项目</w:t>
            </w:r>
          </w:p>
        </w:tc>
        <w:tc>
          <w:tcPr>
            <w:tcW w:w="1216" w:type="dxa"/>
            <w:shd w:val="clear" w:color="auto" w:fill="auto"/>
            <w:vAlign w:val="center"/>
          </w:tcPr>
          <w:p w14:paraId="048B12F7">
            <w:pPr>
              <w:ind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切换</w:t>
            </w:r>
            <w:r>
              <w:rPr>
                <w:rFonts w:hint="eastAsia" w:asciiTheme="minorEastAsia" w:hAnsiTheme="minorEastAsia" w:eastAsiaTheme="minorEastAsia" w:cstheme="minorEastAsia"/>
                <w:sz w:val="24"/>
                <w:szCs w:val="24"/>
                <w:highlight w:val="none"/>
                <w:lang w:val="en-US" w:eastAsia="zh-CN"/>
              </w:rPr>
              <w:t>模组</w:t>
            </w:r>
          </w:p>
        </w:tc>
        <w:tc>
          <w:tcPr>
            <w:tcW w:w="3297" w:type="dxa"/>
            <w:shd w:val="clear" w:color="auto" w:fill="auto"/>
            <w:vAlign w:val="center"/>
          </w:tcPr>
          <w:p w14:paraId="69A4F067">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1、工作电源及功耗要求：直流供电：额定电压DC24V，持宽电压范围直流电源供电，电压范围可在12～72V之间；通信模块在待机（无数据通信）状态下功耗最高不应大于3W。通信过程中瞬时最大功率应小于5W；</w:t>
            </w:r>
          </w:p>
          <w:p w14:paraId="72B6711D">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2、无线通信模块与SIM卡接口：通信模块与SIM卡的接口应符合GSM11.11的要求，与SIM卡交互数据应符合GSM11.14要求；</w:t>
            </w:r>
          </w:p>
          <w:p w14:paraId="7302B1A6">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通信模块与USIM卡的接口应符合3GPP TS 31.102的要求，与USIM卡交互数据应符合3GPP TS31.111要求。</w:t>
            </w:r>
          </w:p>
          <w:p w14:paraId="429A5111">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3、设计要求：采用模块化、可插拔部件；电子芯片器件及零部件应采用工业级器件，工业温度指标满足通信模块的工作温度表格分级要求；通信模块采用工业级SIM/USIM卡。</w:t>
            </w:r>
          </w:p>
          <w:p w14:paraId="5EE9AB9B">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4、防护等级：≥IP66。</w:t>
            </w:r>
          </w:p>
          <w:p w14:paraId="6F56ADED">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5、面板安装深度：≤83mm。</w:t>
            </w:r>
          </w:p>
          <w:p w14:paraId="2F04B371">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6、开孔尺寸(宽X高)：≤500X360mm。</w:t>
            </w:r>
          </w:p>
          <w:p w14:paraId="0BD59CEF">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7、功能要求：自带AI芯片，自适应MQTT/104协议，下行支持过滤压缩算法。</w:t>
            </w:r>
          </w:p>
          <w:p w14:paraId="2F05A30F">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8、使用环境要求：最高环境温度40℃，最低环境温度-20℃；最大工作湿度90%；海拔高度1000米。</w:t>
            </w:r>
          </w:p>
        </w:tc>
        <w:tc>
          <w:tcPr>
            <w:tcW w:w="604" w:type="dxa"/>
            <w:shd w:val="clear" w:color="000000" w:fill="FFFFFF"/>
            <w:vAlign w:val="center"/>
          </w:tcPr>
          <w:p w14:paraId="45861676">
            <w:pPr>
              <w:widowControl/>
              <w:snapToGrid w:val="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台</w:t>
            </w:r>
          </w:p>
        </w:tc>
        <w:tc>
          <w:tcPr>
            <w:tcW w:w="567" w:type="dxa"/>
            <w:shd w:val="clear" w:color="000000" w:fill="FFFFFF"/>
            <w:vAlign w:val="center"/>
          </w:tcPr>
          <w:p w14:paraId="21035049">
            <w:pPr>
              <w:widowControl/>
              <w:snapToGrid w:val="0"/>
              <w:ind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204</w:t>
            </w:r>
          </w:p>
        </w:tc>
        <w:tc>
          <w:tcPr>
            <w:tcW w:w="709" w:type="dxa"/>
            <w:shd w:val="clear" w:color="auto" w:fill="auto"/>
            <w:vAlign w:val="center"/>
          </w:tcPr>
          <w:p w14:paraId="0C864BE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345" w:type="dxa"/>
            <w:vAlign w:val="center"/>
          </w:tcPr>
          <w:p w14:paraId="339FF584">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1449" w:type="dxa"/>
            <w:shd w:val="clear" w:color="auto" w:fill="auto"/>
            <w:vAlign w:val="center"/>
          </w:tcPr>
          <w:p w14:paraId="0E82322C">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2691" w:type="dxa"/>
            <w:shd w:val="clear" w:color="auto" w:fill="auto"/>
            <w:vAlign w:val="center"/>
          </w:tcPr>
          <w:p w14:paraId="190C40B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业绩要求：2022年1月1日至投标截止日内，完成通讯、信息设备相类似业绩不少于1份，累计金额不低于240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万元。注:业绩必须提供对应的合同复印件、发票和相应查验截图。</w:t>
            </w:r>
          </w:p>
        </w:tc>
      </w:tr>
      <w:tr w14:paraId="4C09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vMerge w:val="continue"/>
            <w:vAlign w:val="center"/>
          </w:tcPr>
          <w:p w14:paraId="13BDEF89">
            <w:pPr>
              <w:widowControl/>
              <w:snapToGrid w:val="0"/>
              <w:ind w:firstLine="0" w:firstLineChars="0"/>
              <w:rPr>
                <w:rFonts w:hint="eastAsia" w:asciiTheme="minorEastAsia" w:hAnsiTheme="minorEastAsia" w:eastAsiaTheme="minorEastAsia" w:cstheme="minorEastAsia"/>
                <w:sz w:val="24"/>
                <w:szCs w:val="24"/>
                <w:highlight w:val="none"/>
              </w:rPr>
            </w:pPr>
          </w:p>
        </w:tc>
        <w:tc>
          <w:tcPr>
            <w:tcW w:w="1216" w:type="dxa"/>
            <w:shd w:val="clear" w:color="auto" w:fill="auto"/>
            <w:vAlign w:val="center"/>
          </w:tcPr>
          <w:p w14:paraId="0586FBF3">
            <w:pPr>
              <w:ind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高频信号增益</w:t>
            </w:r>
            <w:r>
              <w:rPr>
                <w:rFonts w:hint="eastAsia" w:asciiTheme="minorEastAsia" w:hAnsiTheme="minorEastAsia" w:eastAsiaTheme="minorEastAsia" w:cstheme="minorEastAsia"/>
                <w:sz w:val="24"/>
                <w:szCs w:val="24"/>
                <w:highlight w:val="none"/>
                <w:lang w:val="en-US" w:eastAsia="zh-CN"/>
              </w:rPr>
              <w:t>模组</w:t>
            </w:r>
          </w:p>
        </w:tc>
        <w:tc>
          <w:tcPr>
            <w:tcW w:w="3297" w:type="dxa"/>
            <w:shd w:val="clear" w:color="auto" w:fill="auto"/>
            <w:vAlign w:val="center"/>
          </w:tcPr>
          <w:p w14:paraId="61EE864F">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1、工作电源及功耗要求：无源供电；</w:t>
            </w:r>
          </w:p>
          <w:p w14:paraId="3E2C2429">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2、时间同步误差：三相时间同步误差≤10μs；三相合成同步误差≤10μs。</w:t>
            </w:r>
          </w:p>
          <w:p w14:paraId="6496C43B">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3、设计要求：以北斗/GPS提供的精准时间为基准,实时采集电力系统在工作中状态下的各种参数，从而实现各个节点的电压、电流等信息的高精度广域同步测量。</w:t>
            </w:r>
          </w:p>
          <w:p w14:paraId="05398101">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4、功能要求：对GPS+4G模块进行同步增益。</w:t>
            </w:r>
          </w:p>
          <w:p w14:paraId="6D022F79">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5、使用环境要求：最高环境温度40℃，最低环境温度-20℃；最大工作湿度90%；海拔高度1000米。</w:t>
            </w:r>
          </w:p>
        </w:tc>
        <w:tc>
          <w:tcPr>
            <w:tcW w:w="604" w:type="dxa"/>
            <w:shd w:val="clear" w:color="000000" w:fill="FFFFFF"/>
            <w:vAlign w:val="center"/>
          </w:tcPr>
          <w:p w14:paraId="7FE7996E">
            <w:pPr>
              <w:widowControl/>
              <w:snapToGri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567" w:type="dxa"/>
            <w:shd w:val="clear" w:color="000000" w:fill="FFFFFF"/>
            <w:vAlign w:val="center"/>
          </w:tcPr>
          <w:p w14:paraId="38BCFB7C">
            <w:pPr>
              <w:widowControl/>
              <w:snapToGrid w:val="0"/>
              <w:ind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232</w:t>
            </w:r>
          </w:p>
        </w:tc>
        <w:tc>
          <w:tcPr>
            <w:tcW w:w="709" w:type="dxa"/>
            <w:shd w:val="clear" w:color="auto" w:fill="auto"/>
            <w:vAlign w:val="center"/>
          </w:tcPr>
          <w:p w14:paraId="3B13AE04">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345" w:type="dxa"/>
            <w:vAlign w:val="center"/>
          </w:tcPr>
          <w:p w14:paraId="098C9A5C">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1449" w:type="dxa"/>
            <w:shd w:val="clear" w:color="auto" w:fill="auto"/>
            <w:vAlign w:val="center"/>
          </w:tcPr>
          <w:p w14:paraId="4470B510">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2691" w:type="dxa"/>
            <w:shd w:val="clear" w:color="auto" w:fill="auto"/>
            <w:vAlign w:val="center"/>
          </w:tcPr>
          <w:p w14:paraId="5AF869B5">
            <w:pPr>
              <w:widowControl/>
              <w:snapToGrid w:val="0"/>
              <w:ind w:firstLine="0" w:firstLineChars="0"/>
              <w:rPr>
                <w:rFonts w:hint="eastAsia" w:asciiTheme="minorEastAsia" w:hAnsiTheme="minorEastAsia" w:eastAsiaTheme="minorEastAsia" w:cstheme="minorEastAsia"/>
                <w:sz w:val="24"/>
                <w:szCs w:val="24"/>
                <w:highlight w:val="none"/>
              </w:rPr>
            </w:pPr>
          </w:p>
        </w:tc>
      </w:tr>
      <w:tr w14:paraId="3B49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vMerge w:val="continue"/>
            <w:vAlign w:val="center"/>
          </w:tcPr>
          <w:p w14:paraId="5C2E0E31">
            <w:pPr>
              <w:widowControl/>
              <w:snapToGrid w:val="0"/>
              <w:ind w:firstLine="0" w:firstLineChars="0"/>
              <w:rPr>
                <w:rFonts w:hint="eastAsia" w:asciiTheme="minorEastAsia" w:hAnsiTheme="minorEastAsia" w:eastAsiaTheme="minorEastAsia" w:cstheme="minorEastAsia"/>
                <w:sz w:val="24"/>
                <w:szCs w:val="24"/>
                <w:highlight w:val="none"/>
              </w:rPr>
            </w:pPr>
          </w:p>
        </w:tc>
        <w:tc>
          <w:tcPr>
            <w:tcW w:w="1216" w:type="dxa"/>
            <w:shd w:val="clear" w:color="auto" w:fill="auto"/>
            <w:vAlign w:val="center"/>
          </w:tcPr>
          <w:p w14:paraId="47A68F4A">
            <w:pPr>
              <w:ind w:firstLine="0" w:firstLineChars="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信息记录</w:t>
            </w:r>
            <w:r>
              <w:rPr>
                <w:rFonts w:hint="eastAsia" w:asciiTheme="minorEastAsia" w:hAnsiTheme="minorEastAsia" w:eastAsiaTheme="minorEastAsia" w:cstheme="minorEastAsia"/>
                <w:sz w:val="24"/>
                <w:szCs w:val="24"/>
                <w:highlight w:val="none"/>
                <w:lang w:val="en-US" w:eastAsia="zh-CN"/>
              </w:rPr>
              <w:t>模组</w:t>
            </w:r>
          </w:p>
        </w:tc>
        <w:tc>
          <w:tcPr>
            <w:tcW w:w="3297" w:type="dxa"/>
            <w:shd w:val="clear" w:color="auto" w:fill="auto"/>
            <w:vAlign w:val="center"/>
          </w:tcPr>
          <w:p w14:paraId="3763B6CE">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1、工作电源及功耗要求：1．直流供电：额定电压DC24V，持宽电压范围直流电源供电，电压范围可在12～72V之间；通信模块在待机（无数据通信）状态下功耗最高不应大于3W。通信过程中瞬时最大功率应小于5W；</w:t>
            </w:r>
          </w:p>
          <w:p w14:paraId="74C2DE15">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2、无线通信模块与SIM卡接口：通信模块与SIM卡的接口应符合GSM11.11的要求，与SIM卡交互数据应符合GSM11.14要求；</w:t>
            </w:r>
          </w:p>
          <w:p w14:paraId="79E74F36">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通信模块与USIM卡的接口应符合3GPP TS 31.102的要求，与USIM卡交互数据应符合3GPP TS31.111要求。</w:t>
            </w:r>
          </w:p>
          <w:p w14:paraId="1CD83066">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3、设计要求：采用模块化、可插拔部件；电子芯片器件及零部件应采用工业级器件，工业温度指标满足通信模块的工作温度表格分级要求；通信模块采用工业级SIM/USIM卡；装置平均无故障时间MTBF≥70000h。</w:t>
            </w:r>
          </w:p>
          <w:p w14:paraId="43ABF877">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4、防护等级：≥IP66。</w:t>
            </w:r>
          </w:p>
          <w:p w14:paraId="60403BA6">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5、面板安装深度：≤83mm。</w:t>
            </w:r>
          </w:p>
          <w:p w14:paraId="0E5C6983">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6、开孔尺寸：≤600mmX500mmX300mm。</w:t>
            </w:r>
          </w:p>
          <w:p w14:paraId="62E3FE04">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7、功能要求：自带AI芯片，自适应MQTT/104协议，下行支持过滤压缩算法。</w:t>
            </w:r>
          </w:p>
          <w:p w14:paraId="74674F86">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8、使用环境要求：最高环境温度40℃，最低环境温度-20℃；最大工作湿度90%；海拔高度1000米。</w:t>
            </w:r>
          </w:p>
        </w:tc>
        <w:tc>
          <w:tcPr>
            <w:tcW w:w="604" w:type="dxa"/>
            <w:shd w:val="clear" w:color="000000" w:fill="FFFFFF"/>
            <w:vAlign w:val="center"/>
          </w:tcPr>
          <w:p w14:paraId="61E31A50">
            <w:pPr>
              <w:widowControl/>
              <w:snapToGri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567" w:type="dxa"/>
            <w:shd w:val="clear" w:color="000000" w:fill="FFFFFF"/>
            <w:vAlign w:val="center"/>
          </w:tcPr>
          <w:p w14:paraId="6B807CF9">
            <w:pPr>
              <w:widowControl/>
              <w:snapToGrid w:val="0"/>
              <w:ind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w:t>
            </w:r>
          </w:p>
        </w:tc>
        <w:tc>
          <w:tcPr>
            <w:tcW w:w="709" w:type="dxa"/>
            <w:shd w:val="clear" w:color="auto" w:fill="auto"/>
            <w:vAlign w:val="center"/>
          </w:tcPr>
          <w:p w14:paraId="4D3139B4">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345" w:type="dxa"/>
            <w:vAlign w:val="center"/>
          </w:tcPr>
          <w:p w14:paraId="74E1913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1449" w:type="dxa"/>
            <w:shd w:val="clear" w:color="auto" w:fill="auto"/>
            <w:vAlign w:val="center"/>
          </w:tcPr>
          <w:p w14:paraId="169A5B7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2691" w:type="dxa"/>
            <w:shd w:val="clear" w:color="auto" w:fill="auto"/>
            <w:vAlign w:val="center"/>
          </w:tcPr>
          <w:p w14:paraId="6DB0D9EB">
            <w:pPr>
              <w:widowControl/>
              <w:snapToGrid w:val="0"/>
              <w:ind w:firstLine="0" w:firstLineChars="0"/>
              <w:rPr>
                <w:rFonts w:hint="eastAsia" w:asciiTheme="minorEastAsia" w:hAnsiTheme="minorEastAsia" w:eastAsiaTheme="minorEastAsia" w:cstheme="minorEastAsia"/>
                <w:sz w:val="24"/>
                <w:szCs w:val="24"/>
                <w:highlight w:val="none"/>
              </w:rPr>
            </w:pPr>
          </w:p>
        </w:tc>
      </w:tr>
      <w:tr w14:paraId="1A40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vMerge w:val="continue"/>
            <w:vAlign w:val="center"/>
          </w:tcPr>
          <w:p w14:paraId="72E72467">
            <w:pPr>
              <w:widowControl/>
              <w:snapToGrid w:val="0"/>
              <w:ind w:firstLine="0" w:firstLineChars="0"/>
              <w:rPr>
                <w:rFonts w:hint="eastAsia" w:asciiTheme="minorEastAsia" w:hAnsiTheme="minorEastAsia" w:eastAsiaTheme="minorEastAsia" w:cstheme="minorEastAsia"/>
                <w:sz w:val="24"/>
                <w:szCs w:val="24"/>
                <w:highlight w:val="none"/>
              </w:rPr>
            </w:pPr>
          </w:p>
        </w:tc>
        <w:tc>
          <w:tcPr>
            <w:tcW w:w="1216" w:type="dxa"/>
            <w:shd w:val="clear" w:color="auto" w:fill="auto"/>
            <w:vAlign w:val="center"/>
          </w:tcPr>
          <w:p w14:paraId="2383C26A">
            <w:pPr>
              <w:ind w:firstLine="0" w:firstLineChars="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信息采集</w:t>
            </w:r>
            <w:r>
              <w:rPr>
                <w:rFonts w:hint="eastAsia" w:asciiTheme="minorEastAsia" w:hAnsiTheme="minorEastAsia" w:eastAsiaTheme="minorEastAsia" w:cstheme="minorEastAsia"/>
                <w:sz w:val="24"/>
                <w:szCs w:val="24"/>
                <w:highlight w:val="none"/>
                <w:lang w:val="en-US" w:eastAsia="zh-CN"/>
              </w:rPr>
              <w:t>模组</w:t>
            </w:r>
          </w:p>
        </w:tc>
        <w:tc>
          <w:tcPr>
            <w:tcW w:w="3297" w:type="dxa"/>
            <w:shd w:val="clear" w:color="auto" w:fill="auto"/>
            <w:vAlign w:val="center"/>
          </w:tcPr>
          <w:p w14:paraId="52B81B9F">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1、工作电源及功耗要求：采用24V直流供电，≤500mW。</w:t>
            </w:r>
          </w:p>
          <w:p w14:paraId="6A879C11">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2、时间同步误差：三相时间同步误差≤10μs；三相合成同步误差≤10μs </w:t>
            </w:r>
          </w:p>
          <w:p w14:paraId="39EFB465">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设计要求：以太网传输和无线传输，应有以太网网口和sim卡槽。站所型电流测量采集单元支持以太网传输和无线传输，应有以太网网口和sim卡槽；环网柜型电流测量采集单元支持无线通信，应有sim卡槽；装置平均无故障时间MTBF≥70000h。</w:t>
            </w:r>
          </w:p>
          <w:p w14:paraId="1B604D10">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4、防护等级：≥IP66。</w:t>
            </w:r>
          </w:p>
          <w:p w14:paraId="3CE5005D">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5、面板安装深度：≤83mm。</w:t>
            </w:r>
          </w:p>
          <w:p w14:paraId="7DA57B8D">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6、开孔尺寸：≤600mmX500mmX300mm。</w:t>
            </w:r>
          </w:p>
          <w:p w14:paraId="44A24D9D">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7、功能要求：自带AI芯片，自适应MQTT/104协议，下行支持过滤压缩算法。</w:t>
            </w:r>
          </w:p>
          <w:p w14:paraId="44B4E57C">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8、使用环境要求：最高环境温度40℃，最低环境温度-20℃；最大工作湿度90%；海拔高度1000米。</w:t>
            </w:r>
          </w:p>
        </w:tc>
        <w:tc>
          <w:tcPr>
            <w:tcW w:w="604" w:type="dxa"/>
            <w:shd w:val="clear" w:color="000000" w:fill="FFFFFF"/>
            <w:vAlign w:val="center"/>
          </w:tcPr>
          <w:p w14:paraId="33BEA949">
            <w:pPr>
              <w:widowControl/>
              <w:snapToGri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567" w:type="dxa"/>
            <w:shd w:val="clear" w:color="000000" w:fill="FFFFFF"/>
            <w:vAlign w:val="center"/>
          </w:tcPr>
          <w:p w14:paraId="5B444F7A">
            <w:pPr>
              <w:widowControl/>
              <w:snapToGrid w:val="0"/>
              <w:ind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696</w:t>
            </w:r>
          </w:p>
        </w:tc>
        <w:tc>
          <w:tcPr>
            <w:tcW w:w="709" w:type="dxa"/>
            <w:shd w:val="clear" w:color="auto" w:fill="auto"/>
            <w:vAlign w:val="center"/>
          </w:tcPr>
          <w:p w14:paraId="35F63A46">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345" w:type="dxa"/>
            <w:vAlign w:val="center"/>
          </w:tcPr>
          <w:p w14:paraId="769C1007">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1449" w:type="dxa"/>
            <w:shd w:val="clear" w:color="auto" w:fill="auto"/>
            <w:vAlign w:val="center"/>
          </w:tcPr>
          <w:p w14:paraId="6B7096CA">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2691" w:type="dxa"/>
            <w:shd w:val="clear" w:color="auto" w:fill="auto"/>
            <w:vAlign w:val="center"/>
          </w:tcPr>
          <w:p w14:paraId="133072B2">
            <w:pPr>
              <w:widowControl/>
              <w:snapToGrid w:val="0"/>
              <w:ind w:firstLine="0" w:firstLineChars="0"/>
              <w:rPr>
                <w:rFonts w:hint="eastAsia" w:asciiTheme="minorEastAsia" w:hAnsiTheme="minorEastAsia" w:eastAsiaTheme="minorEastAsia" w:cstheme="minorEastAsia"/>
                <w:sz w:val="24"/>
                <w:szCs w:val="24"/>
                <w:highlight w:val="none"/>
              </w:rPr>
            </w:pPr>
          </w:p>
        </w:tc>
      </w:tr>
    </w:tbl>
    <w:p w14:paraId="3ECAEA75">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AA075A4">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2806F79"/>
    <w:rsid w:val="16267F4A"/>
    <w:rsid w:val="17252504"/>
    <w:rsid w:val="17832749"/>
    <w:rsid w:val="188E6C44"/>
    <w:rsid w:val="18E776A7"/>
    <w:rsid w:val="22BC120E"/>
    <w:rsid w:val="22F71DBE"/>
    <w:rsid w:val="26BD5819"/>
    <w:rsid w:val="28455ABC"/>
    <w:rsid w:val="2EBF6414"/>
    <w:rsid w:val="321D1C3E"/>
    <w:rsid w:val="34C22B82"/>
    <w:rsid w:val="3A2F2590"/>
    <w:rsid w:val="42CE694E"/>
    <w:rsid w:val="4AA15384"/>
    <w:rsid w:val="4ABD7A75"/>
    <w:rsid w:val="4D2E620D"/>
    <w:rsid w:val="4F403134"/>
    <w:rsid w:val="50E64EAF"/>
    <w:rsid w:val="50EC207F"/>
    <w:rsid w:val="511E0452"/>
    <w:rsid w:val="51340035"/>
    <w:rsid w:val="516A3318"/>
    <w:rsid w:val="637846F9"/>
    <w:rsid w:val="668F4233"/>
    <w:rsid w:val="699B2708"/>
    <w:rsid w:val="6B0F6C92"/>
    <w:rsid w:val="6B8F54C3"/>
    <w:rsid w:val="6BA9784C"/>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spacing w:line="500" w:lineRule="exact"/>
      <w:ind w:firstLine="420"/>
    </w:pPr>
    <w:rPr>
      <w:sz w:val="28"/>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6437</Words>
  <Characters>7253</Characters>
  <Lines>0</Lines>
  <Paragraphs>0</Paragraphs>
  <TotalTime>1</TotalTime>
  <ScaleCrop>false</ScaleCrop>
  <LinksUpToDate>false</LinksUpToDate>
  <CharactersWithSpaces>7284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2FB05378C66346E09406F016BB17B8F3_13</vt:lpwstr>
  </property>
  <property fmtid="{D5CDD505-2E9C-101B-9397-08002B2CF9AE}" pid="4" name="KSOTemplateDocerSaveRecord">
    <vt:lpwstr>eyJoZGlkIjoiMzcwNjJhMjRjNDdiZDcxN2YwM2E3NTkwZGEwYzQ4ZjMiLCJ1c2VySWQiOiIxMTMxODAxOTk4In0=</vt:lpwstr>
  </property>
</Properties>
</file>