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918C0">
      <w:pPr>
        <w:spacing w:beforeLines="0" w:afterLines="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培训显示单元等采购项目</w:t>
      </w:r>
    </w:p>
    <w:p w14:paraId="3231C3BC">
      <w:pPr>
        <w:spacing w:beforeLines="0" w:afterLine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招标公告</w:t>
      </w:r>
    </w:p>
    <w:p w14:paraId="123964BA">
      <w:pPr>
        <w:adjustRightInd w:val="0"/>
        <w:snapToGrid w:val="0"/>
        <w:spacing w:beforeLines="100" w:afterLines="50" w:line="400" w:lineRule="exact"/>
        <w:jc w:val="center"/>
        <w:outlineLvl w:val="1"/>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招标编号：</w:t>
      </w:r>
      <w:bookmarkStart w:id="0" w:name="_bookmark2"/>
      <w:bookmarkEnd w:id="0"/>
      <w:bookmarkStart w:id="1" w:name="_Toc26742"/>
      <w:bookmarkStart w:id="2" w:name="_Toc12492"/>
      <w:bookmarkStart w:id="3" w:name="_Toc62551529"/>
      <w:bookmarkStart w:id="4" w:name="_Toc10816"/>
      <w:r>
        <w:rPr>
          <w:rFonts w:hint="eastAsia" w:ascii="宋体" w:hAnsi="宋体" w:eastAsia="宋体" w:cs="宋体"/>
          <w:color w:val="000000" w:themeColor="text1"/>
          <w:sz w:val="24"/>
          <w:szCs w:val="24"/>
          <w:highlight w:val="none"/>
          <w:lang w:eastAsia="zh-CN"/>
          <w14:textFill>
            <w14:solidFill>
              <w14:schemeClr w14:val="tx1"/>
            </w14:solidFill>
          </w14:textFill>
        </w:rPr>
        <w:t>SGAI2509-0708-WZDXZB-SY08</w:t>
      </w:r>
    </w:p>
    <w:p w14:paraId="7466D938">
      <w:pPr>
        <w:adjustRightInd w:val="0"/>
        <w:snapToGrid w:val="0"/>
        <w:spacing w:beforeLines="100" w:afterLines="50" w:line="400" w:lineRule="exac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1.招标条件</w:t>
      </w:r>
      <w:bookmarkEnd w:id="1"/>
      <w:bookmarkEnd w:id="2"/>
      <w:bookmarkEnd w:id="3"/>
      <w:bookmarkEnd w:id="4"/>
    </w:p>
    <w:p w14:paraId="65F93D5C">
      <w:pPr>
        <w:pStyle w:val="13"/>
        <w:tabs>
          <w:tab w:val="left" w:pos="0"/>
        </w:tabs>
        <w:spacing w:line="400" w:lineRule="exact"/>
        <w:ind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本招标</w:t>
      </w:r>
      <w:r>
        <w:rPr>
          <w:rFonts w:hint="eastAsia" w:ascii="宋体" w:hAnsi="宋体" w:eastAsia="宋体" w:cs="宋体"/>
          <w:color w:val="000000" w:themeColor="text1"/>
          <w:sz w:val="24"/>
          <w:szCs w:val="24"/>
          <w:highlight w:val="none"/>
          <w14:textFill>
            <w14:solidFill>
              <w14:schemeClr w14:val="tx1"/>
            </w14:solidFill>
          </w14:textFill>
        </w:rPr>
        <w:t>项目资金已落实，出资比例为100%，招标人为国网智能科技股份有限公司，并委托</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山东三誉招标代理有限公司</w:t>
      </w:r>
      <w:r>
        <w:rPr>
          <w:rFonts w:hint="eastAsia" w:ascii="宋体" w:hAnsi="宋体" w:eastAsia="宋体" w:cs="宋体"/>
          <w:color w:val="000000" w:themeColor="text1"/>
          <w:sz w:val="24"/>
          <w:szCs w:val="24"/>
          <w:highlight w:val="none"/>
          <w14:textFill>
            <w14:solidFill>
              <w14:schemeClr w14:val="tx1"/>
            </w14:solidFill>
          </w14:textFill>
        </w:rPr>
        <w:t>为招标代理机构。项目已具备招标条件，现对该项目进行公开招标。</w:t>
      </w:r>
    </w:p>
    <w:p w14:paraId="2C78A30F">
      <w:pPr>
        <w:pStyle w:val="13"/>
        <w:tabs>
          <w:tab w:val="left" w:pos="0"/>
        </w:tabs>
        <w:spacing w:line="400" w:lineRule="exact"/>
        <w:ind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本项目积极响应《中共中央国务院关于开展质量提升行动的指导意见》，倡导潜在投标人用先进标准引领服务质量提升，有效治理质量突出问题，推动形成优质优价的采购机制。为保障电网和设备本质安全，维护良好电工装备质量生态环境，确保投标人提供优质产品。招标人有权对违反“</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投标函</w:t>
      </w:r>
      <w:r>
        <w:rPr>
          <w:rFonts w:hint="eastAsia" w:ascii="宋体" w:hAnsi="宋体" w:eastAsia="宋体" w:cs="宋体"/>
          <w:color w:val="000000" w:themeColor="text1"/>
          <w:kern w:val="2"/>
          <w:sz w:val="24"/>
          <w:szCs w:val="24"/>
          <w:highlight w:val="none"/>
          <w14:textFill>
            <w14:solidFill>
              <w14:schemeClr w14:val="tx1"/>
            </w14:solidFill>
          </w14:textFill>
        </w:rPr>
        <w:t>”承诺的投标人加大不良行为处理力度</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39C74E7D">
      <w:pPr>
        <w:numPr>
          <w:ilvl w:val="-1"/>
          <w:numId w:val="0"/>
        </w:numPr>
        <w:adjustRightInd w:val="0"/>
        <w:snapToGrid w:val="0"/>
        <w:spacing w:beforeLines="100" w:afterLines="50" w:line="400" w:lineRule="exact"/>
        <w:outlineLvl w:val="1"/>
        <w:rPr>
          <w:rFonts w:hint="eastAsia" w:ascii="宋体" w:hAnsi="宋体" w:eastAsia="宋体" w:cs="宋体"/>
          <w:b/>
          <w:color w:val="000000" w:themeColor="text1"/>
          <w:sz w:val="32"/>
          <w:szCs w:val="32"/>
          <w:highlight w:val="none"/>
          <w14:textFill>
            <w14:solidFill>
              <w14:schemeClr w14:val="tx1"/>
            </w14:solidFill>
          </w14:textFill>
        </w:rPr>
      </w:pPr>
      <w:bookmarkStart w:id="5" w:name="_bookmark3"/>
      <w:bookmarkEnd w:id="5"/>
      <w:bookmarkStart w:id="6" w:name="_Toc21896"/>
      <w:bookmarkStart w:id="7" w:name="_Toc25148"/>
      <w:bookmarkStart w:id="8" w:name="_Toc62551530"/>
      <w:bookmarkStart w:id="9" w:name="_Toc9444"/>
      <w:r>
        <w:rPr>
          <w:rFonts w:hint="eastAsia" w:ascii="宋体" w:hAnsi="宋体" w:eastAsia="宋体" w:cs="宋体"/>
          <w:b/>
          <w:color w:val="000000" w:themeColor="text1"/>
          <w:sz w:val="32"/>
          <w:szCs w:val="32"/>
          <w:highlight w:val="none"/>
          <w14:textFill>
            <w14:solidFill>
              <w14:schemeClr w14:val="tx1"/>
            </w14:solidFill>
          </w14:textFill>
        </w:rPr>
        <w:t>2.项目概况与招标范围</w:t>
      </w:r>
      <w:bookmarkEnd w:id="6"/>
      <w:bookmarkEnd w:id="7"/>
      <w:bookmarkEnd w:id="8"/>
      <w:bookmarkEnd w:id="9"/>
    </w:p>
    <w:p w14:paraId="7019D1DE">
      <w:pPr>
        <w:tabs>
          <w:tab w:val="left" w:pos="2688"/>
        </w:tabs>
        <w:adjustRightInd w:val="0"/>
        <w:snapToGrid w:val="0"/>
        <w:spacing w:beforeLines="0" w:afterLines="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详见招标公告附件。</w:t>
      </w:r>
    </w:p>
    <w:p w14:paraId="19FB73A6">
      <w:pPr>
        <w:numPr>
          <w:ilvl w:val="0"/>
          <w:numId w:val="0"/>
        </w:numPr>
        <w:adjustRightInd w:val="0"/>
        <w:snapToGrid w:val="0"/>
        <w:spacing w:beforeLines="100" w:afterLines="50" w:line="400" w:lineRule="exact"/>
        <w:ind w:left="0" w:firstLine="0" w:firstLineChars="0"/>
        <w:outlineLvl w:val="1"/>
        <w:rPr>
          <w:rFonts w:hint="eastAsia" w:ascii="宋体" w:hAnsi="宋体" w:eastAsia="宋体" w:cs="宋体"/>
          <w:b/>
          <w:color w:val="000000" w:themeColor="text1"/>
          <w:sz w:val="32"/>
          <w:szCs w:val="32"/>
          <w:highlight w:val="none"/>
          <w14:textFill>
            <w14:solidFill>
              <w14:schemeClr w14:val="tx1"/>
            </w14:solidFill>
          </w14:textFill>
        </w:rPr>
      </w:pPr>
      <w:bookmarkStart w:id="10" w:name="_bookmark4"/>
      <w:bookmarkEnd w:id="10"/>
      <w:bookmarkStart w:id="11" w:name="_Toc10766"/>
      <w:bookmarkStart w:id="12" w:name="_Toc31535"/>
      <w:bookmarkStart w:id="13" w:name="_Toc11363"/>
      <w:bookmarkStart w:id="14" w:name="_Toc62551531"/>
      <w:r>
        <w:rPr>
          <w:rFonts w:hint="eastAsia" w:ascii="宋体" w:hAnsi="宋体" w:eastAsia="宋体" w:cs="宋体"/>
          <w:b/>
          <w:color w:val="000000" w:themeColor="text1"/>
          <w:sz w:val="32"/>
          <w:szCs w:val="32"/>
          <w:highlight w:val="none"/>
          <w14:textFill>
            <w14:solidFill>
              <w14:schemeClr w14:val="tx1"/>
            </w14:solidFill>
          </w14:textFill>
        </w:rPr>
        <w:t>3.投标人资格要求</w:t>
      </w:r>
      <w:bookmarkEnd w:id="11"/>
      <w:bookmarkEnd w:id="12"/>
      <w:bookmarkEnd w:id="13"/>
      <w:bookmarkEnd w:id="14"/>
    </w:p>
    <w:p w14:paraId="55D03C9D">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3.1 本次招标要求投标人须为中华人民共和国境内依法注册的法人或</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其他</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组织，须具有与本招标项目相应的供货能力。</w:t>
      </w:r>
    </w:p>
    <w:p w14:paraId="04697A13">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3.2 本次招标不接受联合体投标。</w:t>
      </w:r>
    </w:p>
    <w:p w14:paraId="5E7121C9">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3.3本次招标是否接受代理商投标见3.6专用资格要求。如接受代理商投标的，代理产品不得属于《机电产品国际招标投标实施办法（试行）》（商务部令2014年第1号）规定必须进行国际招标的产品。</w:t>
      </w:r>
    </w:p>
    <w:p w14:paraId="2A7FEE4B">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3.4 接受代理商或者外协外购产品投标时，其投标产品制造商须在境内具备相应货物的制造能力，并在人员、设备、资金等方面具有保障相应协作承制货物如期交货的能力。除特别注明外，这些资格、资质、业绩均系投标人本人或者其代理或外协产品制造商本人所拥有的权利权益。</w:t>
      </w:r>
    </w:p>
    <w:p w14:paraId="4954A267">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3.5 投标人及其投标产品须满足如下通用资格要求：</w:t>
      </w:r>
    </w:p>
    <w:p w14:paraId="1B5AB81E">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（1）投标产品制造商必须具有生产投标产品所需的生产场地、生产设备、生产人员、产品及元器件检测能力。本招标活动不接受贴牌代工以及任何分包（招标</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文件</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中规定的允许外购外协的除外）、转包行为的投标。</w:t>
      </w:r>
    </w:p>
    <w:p w14:paraId="07B82238">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2）在与规范相同或较规范更严格的条件下，投标产品的投运数量或供货数量及其成功运行时间满足招标文件的要求。如同一包内存在不同类别的产品，除外购外协的产品外，则投标人须分别满足包内各类别产品的资格要求；对于外购外协的产品，产品制造商应满足本公告资质相关业绩要求。</w:t>
      </w:r>
    </w:p>
    <w:p w14:paraId="3D492CF4">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（3）取得国家法律、法规、部门规章规定的有效许可证。取得招标文件要求的国家强制认证证书。</w:t>
      </w:r>
    </w:p>
    <w:p w14:paraId="08283D09">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（4）法定代表人（单位负责人）为同一人或者存在控股、管理关系的不同单位，不得参加同一标包投标或者未划分标包的同一招标项目投标。</w:t>
      </w:r>
    </w:p>
    <w:p w14:paraId="62477E2B">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（5）应有良好的财务状况和商业信用。</w:t>
      </w:r>
    </w:p>
    <w:p w14:paraId="0A0A88C7">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根据《国家电网有限公司供应商关系管理办法》的规定，若投标人为制造商，存在导致其被暂停中标资格或取消中标资格的不良行为且在处理有效期内的，投标人在投标截止之日至中标通知书到达之日前，任一日在《国家电网有限公司关于供应商不良行为处理情况的通报》、《国网山东省电力公司关于供应商不良行为处理情况的通报》处理期内的均适用不良行为处理结果，或投标人存在触发《国家电网有限公司供应商关系管理办法》第六十三条安全及质量重大问题“熔断机制”情形的，其投标将被否决。若投标人为代理商，投标人或其代理产品的制造商存在导致其被暂停中标资格或取消中标资格的不良行为且在处理有效期内的，投标人或其代理产品的制造商在投标截止之日至中标通知书到达之日前，任一日在《国家电网有限公司关于供应商不良行为处理情况的通报》、《国网山东省电力公司关于供应商不良行为处理情况的通报》处理期内的均适用不良行为处理结果，或投标人存在触发《国家电网有限公司供应商关系管理办法》第六十三条安全及质量重大问题“熔断机制”情形的，其投标将被否决。即使投标人在投标截止日尚不存在上述情况，但在中标通知书到达之日前，出现上述情况的，招标人亦有权取消其中标资格。</w:t>
      </w:r>
    </w:p>
    <w:p w14:paraId="0CA856C4">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根据最高人民法院、国家发展改革委、国家铁路局等九部门联合印发的《关于在招标投标活动中对失信被执行人实施联合惩戒的通知》（法〔2016〕285号），投标人不得被人民法院列为失信被执行人。投标人不得存在违法失信行为，不得被“信用中国”网站（www.creditchina.gov.cn）列入严重失信主体名单。即使投标人在开标当日未出现被列入失信被执行人或严重失信主体名单的情形，但在中标通知书到达之日前，存在上述情形的，招标人有权取消其中标资格。</w:t>
      </w:r>
    </w:p>
    <w:p w14:paraId="1730498B">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投标人不得被市场监督管理机关在国家企业信用信息公示系统中列入严重违法失信企业名单或列入经营异常名录信息。投标人需同时在商务文件中提供在国家企业信用信息公示系统（www.gsxt.gov.cn）查询的，包含“营业执照信息”、“列入严重违法失信企业名单（黑名单）”、“列入经营异常名录信息”、“行政处罚信息”、“清算信息”的查询结果。如投标人未提供企业信用信息公示报告，或提供的报告不符合招标文件规定的格式与内容，或报告内容被评标委员会认定有异议的，投标人的“列入经营异常名录信息”和“列入严重违法失信企业名单（黑名单）信息”以评标委员会在国家企业信用信息公示系统（www.gsxt.gov.cn）查询的结果为准。投标人未提供或提供的企业信用信息公示报告不符合招标文件规定的格式与内容的，评标委员会将会对投标人进行不利评价。投标人提供虚假企业信用信息公示报告的，按照虚假投标进行否决，并根据《国家电网有限公司供应商关系管理办法》进行相应处理。即使投标人在开标当日未出现被市场监督管理机关列入经营异常名录或严重违法失信企业名单的情形，但在中标通知书到达之日前，存在上述情形的，招标人有权取消其中标资格。</w:t>
      </w:r>
    </w:p>
    <w:p w14:paraId="0CDFA229">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外购外协原材料、配套元件和外部委托加工及进口散装的部件应符合本招标技术规范要求。投标人应具备对外购外协原材料、配套元件和外部委托加工及进口散装的部件进行进厂验收所需的检验制度、检测手段和能力，和由材料、元件和部件供应商提供的检测合格证明。原材料组部件管理应当具有可追溯性。</w:t>
      </w:r>
    </w:p>
    <w:p w14:paraId="51C2678F">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10）投标人不得选配国家电网有限公司《关于供应商不良行为处理情况的通报》中正接受暂停中标资格、取消中标资格的外购外协供应商或代理（集成服务）制造商的产品；不得选配涉嫌存在《招标投标法》第53条、《招标投标法实施条例》第51条所列违法行为，已被司法机关立案的外购外协供应商或代理（集成服务）制造商的产品。</w:t>
      </w:r>
    </w:p>
    <w:p w14:paraId="5CB139C3">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11）投标产品不得选配缺陷责任期（自设备投运之日起两年内）发生产品质量问题（包括但不限于接续、接触机械电气性能，支撑、封闭绝缘性能，以及电力电子性能下降、老化、毁损、丧失等）导致设备停运检修的组件材料制造商的产品。</w:t>
      </w:r>
    </w:p>
    <w:p w14:paraId="2B0122F4">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）违反“</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投标函</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”承诺，在人民法院生效的判决书中被认定在招标人采购活动中存在行贿犯罪记录的，该投标人参与本项目的投标将被否决。</w:t>
      </w:r>
    </w:p>
    <w:p w14:paraId="3E0E4C4B">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3.6 投标人及其投标产品须满足相应招标货物的专用资格要求如下：</w:t>
      </w:r>
    </w:p>
    <w:p w14:paraId="486B9044">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详见招标公告附件。</w:t>
      </w:r>
    </w:p>
    <w:p w14:paraId="36FB39CD">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3.7 本次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招标</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不接受投标人委托中介机构或者中间人编制投标文件或代行办理投标事宜。</w:t>
      </w:r>
    </w:p>
    <w:p w14:paraId="5CEDA00A">
      <w:pPr>
        <w:tabs>
          <w:tab w:val="left" w:pos="1134"/>
        </w:tabs>
        <w:adjustRightInd w:val="0"/>
        <w:snapToGrid w:val="0"/>
        <w:spacing w:beforeLines="0" w:afterLines="0" w:line="400" w:lineRule="exact"/>
        <w:ind w:firstLine="480" w:firstLineChars="200"/>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3.8 各投标人均可就本次招标的部分或全部标包投标。</w:t>
      </w:r>
    </w:p>
    <w:p w14:paraId="22D30B9E">
      <w:pPr>
        <w:tabs>
          <w:tab w:val="left" w:pos="1200"/>
          <w:tab w:val="left" w:pos="3112"/>
          <w:tab w:val="left" w:pos="4600"/>
        </w:tabs>
        <w:spacing w:line="400" w:lineRule="exact"/>
        <w:ind w:firstLine="510" w:firstLineChars="200"/>
        <w:rPr>
          <w:rFonts w:hint="eastAsia" w:ascii="宋体" w:hAnsi="宋体" w:eastAsia="宋体" w:cs="宋体"/>
          <w:b/>
          <w:bCs/>
          <w:color w:val="000000" w:themeColor="text1"/>
          <w:spacing w:val="7"/>
          <w:sz w:val="24"/>
          <w:szCs w:val="24"/>
          <w:highlight w:val="none"/>
          <w14:textFill>
            <w14:solidFill>
              <w14:schemeClr w14:val="tx1"/>
            </w14:solidFill>
          </w14:textFill>
        </w:rPr>
      </w:pPr>
      <w:r>
        <w:rPr>
          <w:rFonts w:hint="eastAsia" w:ascii="宋体" w:hAnsi="宋体" w:eastAsia="宋体" w:cs="宋体"/>
          <w:b/>
          <w:bCs/>
          <w:color w:val="000000" w:themeColor="text1"/>
          <w:spacing w:val="7"/>
          <w:sz w:val="24"/>
          <w:szCs w:val="24"/>
          <w:highlight w:val="none"/>
          <w14:textFill>
            <w14:solidFill>
              <w14:schemeClr w14:val="tx1"/>
            </w14:solidFill>
          </w14:textFill>
        </w:rPr>
        <w:t>3.</w:t>
      </w:r>
      <w:r>
        <w:rPr>
          <w:rFonts w:hint="eastAsia" w:ascii="宋体" w:hAnsi="宋体" w:eastAsia="宋体" w:cs="宋体"/>
          <w:b/>
          <w:bCs/>
          <w:color w:val="000000" w:themeColor="text1"/>
          <w:spacing w:val="7"/>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pacing w:val="7"/>
          <w:sz w:val="24"/>
          <w:szCs w:val="24"/>
          <w:highlight w:val="none"/>
          <w14:textFill>
            <w14:solidFill>
              <w14:schemeClr w14:val="tx1"/>
            </w14:solidFill>
          </w14:textFill>
        </w:rPr>
        <w:t>投标人须满足相应招标项目的专用资格要求:</w:t>
      </w:r>
    </w:p>
    <w:p w14:paraId="573DF29C">
      <w:pPr>
        <w:tabs>
          <w:tab w:val="left" w:pos="1200"/>
          <w:tab w:val="left" w:pos="3112"/>
          <w:tab w:val="left" w:pos="4600"/>
        </w:tabs>
        <w:spacing w:line="40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详见招标公告附件。</w:t>
      </w:r>
    </w:p>
    <w:p w14:paraId="22DF4AAE">
      <w:pPr>
        <w:tabs>
          <w:tab w:val="left" w:pos="1200"/>
          <w:tab w:val="left" w:pos="3112"/>
          <w:tab w:val="left" w:pos="4600"/>
        </w:tabs>
        <w:spacing w:line="400" w:lineRule="exact"/>
        <w:ind w:firstLine="510" w:firstLineChars="200"/>
        <w:rPr>
          <w:rFonts w:hint="eastAsia" w:ascii="宋体" w:hAnsi="宋体" w:eastAsia="宋体" w:cs="宋体"/>
          <w:b/>
          <w:bCs/>
          <w:color w:val="000000" w:themeColor="text1"/>
          <w:spacing w:val="7"/>
          <w:sz w:val="24"/>
          <w:szCs w:val="24"/>
          <w:highlight w:val="none"/>
          <w14:textFill>
            <w14:solidFill>
              <w14:schemeClr w14:val="tx1"/>
            </w14:solidFill>
          </w14:textFill>
        </w:rPr>
      </w:pPr>
      <w:r>
        <w:rPr>
          <w:rFonts w:hint="eastAsia" w:ascii="宋体" w:hAnsi="宋体" w:eastAsia="宋体" w:cs="宋体"/>
          <w:b/>
          <w:bCs/>
          <w:color w:val="000000" w:themeColor="text1"/>
          <w:spacing w:val="7"/>
          <w:sz w:val="24"/>
          <w:szCs w:val="24"/>
          <w:highlight w:val="none"/>
          <w14:textFill>
            <w14:solidFill>
              <w14:schemeClr w14:val="tx1"/>
            </w14:solidFill>
          </w14:textFill>
        </w:rPr>
        <w:t>3.</w:t>
      </w:r>
      <w:r>
        <w:rPr>
          <w:rFonts w:hint="eastAsia" w:ascii="宋体" w:hAnsi="宋体" w:eastAsia="宋体" w:cs="宋体"/>
          <w:b/>
          <w:bCs/>
          <w:color w:val="000000" w:themeColor="text1"/>
          <w:spacing w:val="7"/>
          <w:sz w:val="24"/>
          <w:szCs w:val="24"/>
          <w:highlight w:val="none"/>
          <w:lang w:val="en-US" w:eastAsia="zh-CN"/>
          <w14:textFill>
            <w14:solidFill>
              <w14:schemeClr w14:val="tx1"/>
            </w14:solidFill>
          </w14:textFill>
        </w:rPr>
        <w:t>10</w:t>
      </w:r>
      <w:r>
        <w:rPr>
          <w:rFonts w:hint="eastAsia" w:ascii="宋体" w:hAnsi="宋体" w:eastAsia="宋体" w:cs="宋体"/>
          <w:b/>
          <w:bCs/>
          <w:color w:val="000000" w:themeColor="text1"/>
          <w:spacing w:val="7"/>
          <w:sz w:val="24"/>
          <w:szCs w:val="24"/>
          <w:highlight w:val="none"/>
          <w14:textFill>
            <w14:solidFill>
              <w14:schemeClr w14:val="tx1"/>
            </w14:solidFill>
          </w14:textFill>
        </w:rPr>
        <w:t>除专用资格要求中明确接受联合体投标的项目外，不接受联合体投标。</w:t>
      </w:r>
    </w:p>
    <w:p w14:paraId="106C0D21">
      <w:pPr>
        <w:tabs>
          <w:tab w:val="left" w:pos="1200"/>
          <w:tab w:val="left" w:pos="3112"/>
          <w:tab w:val="left" w:pos="4600"/>
        </w:tabs>
        <w:spacing w:line="400" w:lineRule="exact"/>
        <w:ind w:firstLine="510" w:firstLineChars="200"/>
        <w:rPr>
          <w:rFonts w:hint="eastAsia" w:ascii="宋体" w:hAnsi="宋体" w:eastAsia="宋体" w:cs="宋体"/>
          <w:color w:val="000000" w:themeColor="text1"/>
          <w:spacing w:val="7"/>
          <w:sz w:val="24"/>
          <w:szCs w:val="24"/>
          <w:highlight w:val="none"/>
          <w14:textFill>
            <w14:solidFill>
              <w14:schemeClr w14:val="tx1"/>
            </w14:solidFill>
          </w14:textFill>
        </w:rPr>
      </w:pPr>
      <w:r>
        <w:rPr>
          <w:rFonts w:hint="eastAsia" w:ascii="宋体" w:hAnsi="宋体" w:eastAsia="宋体" w:cs="宋体"/>
          <w:b/>
          <w:bCs/>
          <w:color w:val="000000" w:themeColor="text1"/>
          <w:spacing w:val="7"/>
          <w:sz w:val="24"/>
          <w:szCs w:val="24"/>
          <w:highlight w:val="none"/>
          <w14:textFill>
            <w14:solidFill>
              <w14:schemeClr w14:val="tx1"/>
            </w14:solidFill>
          </w14:textFill>
        </w:rPr>
        <w:t>3.</w:t>
      </w:r>
      <w:r>
        <w:rPr>
          <w:rFonts w:hint="eastAsia" w:ascii="宋体" w:hAnsi="宋体" w:eastAsia="宋体" w:cs="宋体"/>
          <w:b/>
          <w:bCs/>
          <w:color w:val="000000" w:themeColor="text1"/>
          <w:spacing w:val="7"/>
          <w:sz w:val="24"/>
          <w:szCs w:val="24"/>
          <w:highlight w:val="none"/>
          <w:lang w:val="en-US" w:eastAsia="zh-CN"/>
          <w14:textFill>
            <w14:solidFill>
              <w14:schemeClr w14:val="tx1"/>
            </w14:solidFill>
          </w14:textFill>
        </w:rPr>
        <w:t>11</w:t>
      </w:r>
      <w:r>
        <w:rPr>
          <w:rFonts w:hint="eastAsia" w:ascii="宋体" w:hAnsi="宋体" w:eastAsia="宋体" w:cs="宋体"/>
          <w:b/>
          <w:bCs/>
          <w:color w:val="000000" w:themeColor="text1"/>
          <w:spacing w:val="7"/>
          <w:sz w:val="24"/>
          <w:szCs w:val="24"/>
          <w:highlight w:val="none"/>
          <w14:textFill>
            <w14:solidFill>
              <w14:schemeClr w14:val="tx1"/>
            </w14:solidFill>
          </w14:textFill>
        </w:rPr>
        <w:t>如接受联合体投标的，投标人还应遵守以下规定：</w:t>
      </w:r>
    </w:p>
    <w:p w14:paraId="59AE3B46">
      <w:pPr>
        <w:pStyle w:val="13"/>
        <w:tabs>
          <w:tab w:val="left" w:pos="0"/>
        </w:tabs>
        <w:spacing w:line="400" w:lineRule="exact"/>
        <w:ind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（1）联合体各方均应满足3.1款和3.2款的规定。</w:t>
      </w:r>
    </w:p>
    <w:p w14:paraId="3880B76F">
      <w:pPr>
        <w:pStyle w:val="13"/>
        <w:tabs>
          <w:tab w:val="left" w:pos="0"/>
        </w:tabs>
        <w:spacing w:line="400" w:lineRule="exact"/>
        <w:ind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（2）联合体各方应按照招标文件提供的格式签订联合体协议书，明确联合体牵头人和各方的权利义务。</w:t>
      </w:r>
    </w:p>
    <w:p w14:paraId="5664923A">
      <w:pPr>
        <w:pStyle w:val="13"/>
        <w:tabs>
          <w:tab w:val="left" w:pos="0"/>
        </w:tabs>
        <w:spacing w:line="400" w:lineRule="exact"/>
        <w:ind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（3）联合体牵头人代表联合体各方负责获取本项目的招标文件及投标工作。</w:t>
      </w:r>
    </w:p>
    <w:p w14:paraId="33254D12">
      <w:pPr>
        <w:pStyle w:val="13"/>
        <w:tabs>
          <w:tab w:val="left" w:pos="0"/>
        </w:tabs>
        <w:spacing w:line="400" w:lineRule="exact"/>
        <w:ind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（4）由同一专业的单位组成的联合体，按照资质等级较低的单位确定资质等级；不同专业分工由不同单位分别承担的，按照各自的专业资质确定联合体的资质。</w:t>
      </w:r>
    </w:p>
    <w:p w14:paraId="76E5C5C6">
      <w:pPr>
        <w:pStyle w:val="13"/>
        <w:tabs>
          <w:tab w:val="left" w:pos="0"/>
        </w:tabs>
        <w:spacing w:line="400" w:lineRule="exact"/>
        <w:ind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（5）联合体各方不得再以自己名义单独或参加其他联合体在同一标包中投标。</w:t>
      </w:r>
    </w:p>
    <w:p w14:paraId="2FD82B71">
      <w:pPr>
        <w:numPr>
          <w:ilvl w:val="0"/>
          <w:numId w:val="0"/>
        </w:numPr>
        <w:adjustRightInd w:val="0"/>
        <w:snapToGrid w:val="0"/>
        <w:spacing w:beforeLines="100" w:afterLines="50" w:line="400" w:lineRule="exact"/>
        <w:outlineLvl w:val="1"/>
        <w:rPr>
          <w:rFonts w:hint="eastAsia" w:ascii="宋体" w:hAnsi="宋体" w:eastAsia="宋体" w:cs="宋体"/>
          <w:b/>
          <w:color w:val="000000" w:themeColor="text1"/>
          <w:sz w:val="32"/>
          <w:szCs w:val="32"/>
          <w:highlight w:val="none"/>
          <w14:textFill>
            <w14:solidFill>
              <w14:schemeClr w14:val="tx1"/>
            </w14:solidFill>
          </w14:textFill>
        </w:rPr>
      </w:pPr>
      <w:bookmarkStart w:id="15" w:name="_bookmark5"/>
      <w:bookmarkEnd w:id="15"/>
      <w:bookmarkStart w:id="16" w:name="_Toc19223"/>
      <w:bookmarkStart w:id="17" w:name="_Toc18436"/>
      <w:bookmarkStart w:id="18" w:name="_Toc12413"/>
      <w:bookmarkStart w:id="19" w:name="_Toc62551532"/>
      <w:r>
        <w:rPr>
          <w:rFonts w:hint="eastAsia" w:ascii="宋体" w:hAnsi="宋体" w:eastAsia="宋体" w:cs="宋体"/>
          <w:b/>
          <w:color w:val="000000" w:themeColor="text1"/>
          <w:sz w:val="32"/>
          <w:szCs w:val="32"/>
          <w:highlight w:val="none"/>
          <w14:textFill>
            <w14:solidFill>
              <w14:schemeClr w14:val="tx1"/>
            </w14:solidFill>
          </w14:textFill>
        </w:rPr>
        <w:t>4.招标文件的获取</w:t>
      </w:r>
      <w:bookmarkEnd w:id="16"/>
      <w:bookmarkEnd w:id="17"/>
      <w:bookmarkEnd w:id="18"/>
      <w:bookmarkEnd w:id="19"/>
    </w:p>
    <w:p w14:paraId="403AB4DD">
      <w:pPr>
        <w:pStyle w:val="13"/>
        <w:tabs>
          <w:tab w:val="left" w:pos="0"/>
        </w:tabs>
        <w:spacing w:line="400" w:lineRule="exact"/>
        <w:ind w:firstLine="480" w:firstLineChars="200"/>
        <w:jc w:val="both"/>
        <w:rPr>
          <w:rFonts w:hint="eastAsia" w:cs="宋体"/>
          <w:b w:val="0"/>
          <w:bCs w:val="0"/>
          <w:i w:val="0"/>
          <w:iCs w:val="0"/>
          <w:caps w:val="0"/>
          <w:color w:val="000000" w:themeColor="text1"/>
          <w:spacing w:val="0"/>
          <w:kern w:val="2"/>
          <w:sz w:val="24"/>
          <w:szCs w:val="24"/>
          <w:highlight w:val="none"/>
          <w:u w:val="none"/>
          <w:shd w:val="clear"/>
          <w:lang w:eastAsia="zh-CN"/>
          <w14:textFill>
            <w14:solidFill>
              <w14:schemeClr w14:val="tx1"/>
            </w14:solidFill>
          </w14:textFill>
        </w:rPr>
      </w:pPr>
      <w:bookmarkStart w:id="20" w:name="_bookmark6"/>
      <w:bookmarkEnd w:id="20"/>
      <w:bookmarkStart w:id="21" w:name="_Toc62551533"/>
      <w:bookmarkStart w:id="22" w:name="_Toc31762"/>
      <w:bookmarkStart w:id="23" w:name="_Toc30381"/>
      <w:bookmarkStart w:id="24" w:name="_Toc15733"/>
      <w:r>
        <w:rPr>
          <w:rFonts w:hint="eastAsia" w:ascii="宋体" w:hAnsi="宋体" w:eastAsia="宋体" w:cs="宋体"/>
          <w:color w:val="000000" w:themeColor="text1"/>
          <w:kern w:val="2"/>
          <w:sz w:val="24"/>
          <w:szCs w:val="24"/>
          <w:highlight w:val="none"/>
          <w14:textFill>
            <w14:solidFill>
              <w14:schemeClr w14:val="tx1"/>
            </w14:solidFill>
          </w14:textFill>
        </w:rPr>
        <w:t>4.1</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文件</w:t>
      </w:r>
      <w:r>
        <w:rPr>
          <w:rFonts w:hint="eastAsia" w:ascii="宋体" w:hAnsi="宋体" w:eastAsia="宋体" w:cs="宋体"/>
          <w:color w:val="000000" w:themeColor="text1"/>
          <w:kern w:val="2"/>
          <w:sz w:val="24"/>
          <w:szCs w:val="24"/>
          <w:highlight w:val="none"/>
          <w14:textFill>
            <w14:solidFill>
              <w14:schemeClr w14:val="tx1"/>
            </w14:solidFill>
          </w14:textFill>
        </w:rPr>
        <w:t>（电子文件）免费获取。</w:t>
      </w:r>
      <w:r>
        <w:rPr>
          <w:rFonts w:hint="eastAsia" w:ascii="宋体" w:hAnsi="宋体" w:eastAsia="宋体" w:cs="宋体"/>
          <w:b w:val="0"/>
          <w:bCs w:val="0"/>
          <w:i w:val="0"/>
          <w:iCs w:val="0"/>
          <w:color w:val="000000" w:themeColor="text1"/>
          <w:kern w:val="2"/>
          <w:sz w:val="24"/>
          <w:szCs w:val="24"/>
          <w:highlight w:val="none"/>
          <w:u w:val="none"/>
          <w:lang w:eastAsia="zh-CN"/>
          <w14:textFill>
            <w14:solidFill>
              <w14:schemeClr w14:val="tx1"/>
            </w14:solidFill>
          </w14:textFill>
        </w:rPr>
        <w:t>投标人</w:t>
      </w:r>
      <w:r>
        <w:rPr>
          <w:rFonts w:hint="eastAsia" w:ascii="宋体" w:hAnsi="宋体" w:eastAsia="宋体" w:cs="宋体"/>
          <w:b w:val="0"/>
          <w:bCs w:val="0"/>
          <w:i w:val="0"/>
          <w:iCs w:val="0"/>
          <w:color w:val="000000" w:themeColor="text1"/>
          <w:kern w:val="2"/>
          <w:sz w:val="24"/>
          <w:szCs w:val="24"/>
          <w:highlight w:val="none"/>
          <w:u w:val="none"/>
          <w:lang w:val="en-US" w:eastAsia="zh-CN"/>
          <w14:textFill>
            <w14:solidFill>
              <w14:schemeClr w14:val="tx1"/>
            </w14:solidFill>
          </w14:textFill>
        </w:rPr>
        <w:t>需在</w:t>
      </w:r>
      <w:r>
        <w:rPr>
          <w:rFonts w:hint="eastAsia" w:ascii="宋体" w:hAnsi="宋体" w:eastAsia="宋体" w:cs="宋体"/>
          <w:color w:val="000000" w:themeColor="text1"/>
          <w:kern w:val="2"/>
          <w:sz w:val="24"/>
          <w:szCs w:val="24"/>
          <w:highlight w:val="none"/>
          <w14:textFill>
            <w14:solidFill>
              <w14:schemeClr w14:val="tx1"/>
            </w14:solidFill>
          </w14:textFill>
        </w:rPr>
        <w:t>国网智能科技股份有限公司供应链管理系统平台（网址：http://jypt.connectxun.com/）</w:t>
      </w:r>
      <w:r>
        <w:rPr>
          <w:rFonts w:hint="eastAsia" w:ascii="宋体" w:hAnsi="宋体" w:eastAsia="宋体" w:cs="宋体"/>
          <w:b w:val="0"/>
          <w:bCs w:val="0"/>
          <w:i w:val="0"/>
          <w:iCs w:val="0"/>
          <w:color w:val="000000" w:themeColor="text1"/>
          <w:kern w:val="2"/>
          <w:sz w:val="24"/>
          <w:szCs w:val="24"/>
          <w:highlight w:val="none"/>
          <w:u w:val="none"/>
          <w14:textFill>
            <w14:solidFill>
              <w14:schemeClr w14:val="tx1"/>
            </w14:solidFill>
          </w14:textFill>
        </w:rPr>
        <w:t>点击购买</w:t>
      </w:r>
      <w:r>
        <w:rPr>
          <w:rFonts w:hint="eastAsia" w:ascii="宋体" w:hAnsi="宋体" w:eastAsia="宋体" w:cs="宋体"/>
          <w:b w:val="0"/>
          <w:bCs w:val="0"/>
          <w:i w:val="0"/>
          <w:iCs w:val="0"/>
          <w:color w:val="000000" w:themeColor="text1"/>
          <w:kern w:val="2"/>
          <w:sz w:val="24"/>
          <w:szCs w:val="24"/>
          <w:highlight w:val="none"/>
          <w:u w:val="none"/>
          <w:lang w:eastAsia="zh-CN"/>
          <w14:textFill>
            <w14:solidFill>
              <w14:schemeClr w14:val="tx1"/>
            </w14:solidFill>
          </w14:textFill>
        </w:rPr>
        <w:t>招标文件</w:t>
      </w:r>
      <w:r>
        <w:rPr>
          <w:rFonts w:hint="eastAsia" w:ascii="宋体" w:hAnsi="宋体" w:eastAsia="宋体" w:cs="宋体"/>
          <w:b w:val="0"/>
          <w:bCs w:val="0"/>
          <w:i w:val="0"/>
          <w:iCs w:val="0"/>
          <w:color w:val="000000" w:themeColor="text1"/>
          <w:kern w:val="2"/>
          <w:sz w:val="24"/>
          <w:szCs w:val="24"/>
          <w:highlight w:val="none"/>
          <w:u w:val="none"/>
          <w14:textFill>
            <w14:solidFill>
              <w14:schemeClr w14:val="tx1"/>
            </w14:solidFill>
          </w14:textFill>
        </w:rPr>
        <w:t>即可，无须支付费用。购买申请1个工作日内将自动获得</w:t>
      </w:r>
      <w:r>
        <w:rPr>
          <w:rFonts w:hint="eastAsia" w:ascii="宋体" w:hAnsi="宋体" w:eastAsia="宋体" w:cs="宋体"/>
          <w:b w:val="0"/>
          <w:bCs w:val="0"/>
          <w:i w:val="0"/>
          <w:iCs w:val="0"/>
          <w:color w:val="000000" w:themeColor="text1"/>
          <w:kern w:val="2"/>
          <w:sz w:val="24"/>
          <w:szCs w:val="24"/>
          <w:highlight w:val="none"/>
          <w:u w:val="none"/>
          <w:lang w:eastAsia="zh-CN"/>
          <w14:textFill>
            <w14:solidFill>
              <w14:schemeClr w14:val="tx1"/>
            </w14:solidFill>
          </w14:textFill>
        </w:rPr>
        <w:t>招标文件</w:t>
      </w:r>
      <w:r>
        <w:rPr>
          <w:rFonts w:hint="eastAsia" w:ascii="宋体" w:hAnsi="宋体" w:eastAsia="宋体" w:cs="宋体"/>
          <w:b w:val="0"/>
          <w:bCs w:val="0"/>
          <w:i w:val="0"/>
          <w:iCs w:val="0"/>
          <w:color w:val="000000" w:themeColor="text1"/>
          <w:kern w:val="2"/>
          <w:sz w:val="24"/>
          <w:szCs w:val="24"/>
          <w:highlight w:val="none"/>
          <w:u w:val="none"/>
          <w14:textFill>
            <w14:solidFill>
              <w14:schemeClr w14:val="tx1"/>
            </w14:solidFill>
          </w14:textFill>
        </w:rPr>
        <w:t>下载权限，超过1个工作日内未收到确认下载权限的，可联系核实报名情况。</w:t>
      </w:r>
      <w:r>
        <w:rPr>
          <w:rFonts w:hint="eastAsia" w:cs="宋体"/>
          <w:b w:val="0"/>
          <w:bCs w:val="0"/>
          <w:i w:val="0"/>
          <w:iCs w:val="0"/>
          <w:color w:val="000000" w:themeColor="text1"/>
          <w:kern w:val="2"/>
          <w:sz w:val="24"/>
          <w:szCs w:val="24"/>
          <w:highlight w:val="none"/>
          <w:u w:val="none"/>
          <w:lang w:val="en-US" w:eastAsia="zh-CN"/>
          <w14:textFill>
            <w14:solidFill>
              <w14:schemeClr w14:val="tx1"/>
            </w14:solidFill>
          </w14:textFill>
        </w:rPr>
        <w:t>投标人在首次登陆</w:t>
      </w:r>
      <w:r>
        <w:rPr>
          <w:rFonts w:hint="eastAsia" w:ascii="宋体" w:hAnsi="宋体" w:eastAsia="宋体" w:cs="宋体"/>
          <w:color w:val="000000" w:themeColor="text1"/>
          <w:kern w:val="2"/>
          <w:sz w:val="24"/>
          <w:szCs w:val="24"/>
          <w:highlight w:val="none"/>
          <w:u w:val="none"/>
          <w14:textFill>
            <w14:solidFill>
              <w14:schemeClr w14:val="tx1"/>
            </w14:solidFill>
          </w14:textFill>
        </w:rPr>
        <w:t>供应链管理系统平台</w:t>
      </w:r>
      <w:r>
        <w:rPr>
          <w:rFonts w:hint="eastAsia" w:cs="宋体"/>
          <w:color w:val="000000" w:themeColor="text1"/>
          <w:kern w:val="2"/>
          <w:sz w:val="24"/>
          <w:szCs w:val="24"/>
          <w:highlight w:val="none"/>
          <w:u w:val="none"/>
          <w:lang w:val="en-US" w:eastAsia="zh-CN"/>
          <w14:textFill>
            <w14:solidFill>
              <w14:schemeClr w14:val="tx1"/>
            </w14:solidFill>
          </w14:textFill>
        </w:rPr>
        <w:t>时，应根据提示主动下载、</w:t>
      </w:r>
      <w:r>
        <w:rPr>
          <w:rFonts w:hint="eastAsia" w:ascii="宋体" w:hAnsi="宋体" w:eastAsia="宋体" w:cs="宋体"/>
          <w:b w:val="0"/>
          <w:bCs w:val="0"/>
          <w:i w:val="0"/>
          <w:iCs w:val="0"/>
          <w:caps w:val="0"/>
          <w:color w:val="000000" w:themeColor="text1"/>
          <w:spacing w:val="0"/>
          <w:kern w:val="2"/>
          <w:sz w:val="24"/>
          <w:szCs w:val="24"/>
          <w:highlight w:val="none"/>
          <w:u w:val="none"/>
          <w:shd w:val="clear"/>
          <w14:textFill>
            <w14:solidFill>
              <w14:schemeClr w14:val="tx1"/>
            </w14:solidFill>
          </w14:textFill>
        </w:rPr>
        <w:t>安装与注册CA客户端</w:t>
      </w:r>
      <w:r>
        <w:rPr>
          <w:rFonts w:hint="eastAsia" w:cs="宋体"/>
          <w:b w:val="0"/>
          <w:bCs w:val="0"/>
          <w:i w:val="0"/>
          <w:iCs w:val="0"/>
          <w:caps w:val="0"/>
          <w:color w:val="000000" w:themeColor="text1"/>
          <w:spacing w:val="0"/>
          <w:kern w:val="2"/>
          <w:sz w:val="24"/>
          <w:szCs w:val="24"/>
          <w:highlight w:val="none"/>
          <w:u w:val="none"/>
          <w:shd w:val="clear"/>
          <w:lang w:eastAsia="zh-CN"/>
          <w14:textFill>
            <w14:solidFill>
              <w14:schemeClr w14:val="tx1"/>
            </w14:solidFill>
          </w14:textFill>
        </w:rPr>
        <w:t>，</w:t>
      </w:r>
      <w:r>
        <w:rPr>
          <w:rFonts w:hint="eastAsia" w:cs="宋体"/>
          <w:b w:val="0"/>
          <w:bCs w:val="0"/>
          <w:i w:val="0"/>
          <w:iCs w:val="0"/>
          <w:caps w:val="0"/>
          <w:color w:val="000000" w:themeColor="text1"/>
          <w:spacing w:val="0"/>
          <w:kern w:val="2"/>
          <w:sz w:val="24"/>
          <w:szCs w:val="24"/>
          <w:highlight w:val="none"/>
          <w:u w:val="none"/>
          <w:shd w:val="clear"/>
          <w:lang w:val="en-US" w:eastAsia="zh-CN"/>
          <w14:textFill>
            <w14:solidFill>
              <w14:schemeClr w14:val="tx1"/>
            </w14:solidFill>
          </w14:textFill>
        </w:rPr>
        <w:t>因注册问题导致的投标延误，由</w:t>
      </w:r>
      <w:r>
        <w:rPr>
          <w:rFonts w:hint="eastAsia" w:cs="宋体"/>
          <w:b w:val="0"/>
          <w:bCs w:val="0"/>
          <w:i w:val="0"/>
          <w:iCs w:val="0"/>
          <w:color w:val="000000" w:themeColor="text1"/>
          <w:kern w:val="2"/>
          <w:sz w:val="24"/>
          <w:szCs w:val="24"/>
          <w:highlight w:val="none"/>
          <w:u w:val="none"/>
          <w:lang w:val="en-US" w:eastAsia="zh-CN"/>
          <w14:textFill>
            <w14:solidFill>
              <w14:schemeClr w14:val="tx1"/>
            </w14:solidFill>
          </w14:textFill>
        </w:rPr>
        <w:t>投标人</w:t>
      </w:r>
      <w:r>
        <w:rPr>
          <w:rFonts w:hint="eastAsia" w:cs="宋体"/>
          <w:b w:val="0"/>
          <w:bCs w:val="0"/>
          <w:i w:val="0"/>
          <w:iCs w:val="0"/>
          <w:caps w:val="0"/>
          <w:color w:val="000000" w:themeColor="text1"/>
          <w:spacing w:val="0"/>
          <w:kern w:val="2"/>
          <w:sz w:val="24"/>
          <w:szCs w:val="24"/>
          <w:highlight w:val="none"/>
          <w:u w:val="none"/>
          <w:shd w:val="clear"/>
          <w:lang w:val="en-US" w:eastAsia="zh-CN"/>
          <w14:textFill>
            <w14:solidFill>
              <w14:schemeClr w14:val="tx1"/>
            </w14:solidFill>
          </w14:textFill>
        </w:rPr>
        <w:t>自己负责</w:t>
      </w:r>
      <w:r>
        <w:rPr>
          <w:rFonts w:hint="eastAsia" w:cs="宋体"/>
          <w:b w:val="0"/>
          <w:bCs w:val="0"/>
          <w:i w:val="0"/>
          <w:iCs w:val="0"/>
          <w:caps w:val="0"/>
          <w:color w:val="000000" w:themeColor="text1"/>
          <w:spacing w:val="0"/>
          <w:kern w:val="2"/>
          <w:sz w:val="24"/>
          <w:szCs w:val="24"/>
          <w:highlight w:val="none"/>
          <w:u w:val="none"/>
          <w:shd w:val="clear"/>
          <w:lang w:eastAsia="zh-CN"/>
          <w14:textFill>
            <w14:solidFill>
              <w14:schemeClr w14:val="tx1"/>
            </w14:solidFill>
          </w14:textFill>
        </w:rPr>
        <w:t>。</w:t>
      </w:r>
    </w:p>
    <w:p w14:paraId="435692C2">
      <w:pPr>
        <w:pStyle w:val="13"/>
        <w:tabs>
          <w:tab w:val="left" w:pos="0"/>
        </w:tabs>
        <w:spacing w:line="400" w:lineRule="exact"/>
        <w:ind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4.2凡有意参加投标者，请于</w:t>
      </w:r>
      <w:r>
        <w:rPr>
          <w:rFonts w:hint="eastAsia" w:cs="宋体"/>
          <w:color w:val="000000" w:themeColor="text1"/>
          <w:kern w:val="2"/>
          <w:sz w:val="24"/>
          <w:szCs w:val="24"/>
          <w:highlight w:val="none"/>
          <w:lang w:eastAsia="zh-CN"/>
          <w14:textFill>
            <w14:solidFill>
              <w14:schemeClr w14:val="tx1"/>
            </w14:solidFill>
          </w14:textFill>
        </w:rPr>
        <w:t>2025</w:t>
      </w:r>
      <w:r>
        <w:rPr>
          <w:rFonts w:hint="eastAsia" w:ascii="宋体" w:hAnsi="宋体" w:eastAsia="宋体" w:cs="宋体"/>
          <w:color w:val="000000" w:themeColor="text1"/>
          <w:kern w:val="2"/>
          <w:sz w:val="24"/>
          <w:szCs w:val="24"/>
          <w:highlight w:val="none"/>
          <w14:textFill>
            <w14:solidFill>
              <w14:schemeClr w14:val="tx1"/>
            </w14:solidFill>
          </w14:textFill>
        </w:rPr>
        <w:t>年</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2"/>
          <w:sz w:val="24"/>
          <w:szCs w:val="24"/>
          <w:highlight w:val="none"/>
          <w14:textFill>
            <w14:solidFill>
              <w14:schemeClr w14:val="tx1"/>
            </w14:solidFill>
          </w14:textFill>
        </w:rPr>
        <w:t>月</w:t>
      </w:r>
      <w:r>
        <w:rPr>
          <w:rFonts w:hint="eastAsia" w:cs="宋体"/>
          <w:color w:val="000000" w:themeColor="text1"/>
          <w:kern w:val="2"/>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2"/>
          <w:sz w:val="24"/>
          <w:szCs w:val="24"/>
          <w:highlight w:val="none"/>
          <w14:textFill>
            <w14:solidFill>
              <w14:schemeClr w14:val="tx1"/>
            </w14:solidFill>
          </w14:textFill>
        </w:rPr>
        <w:t>日至</w:t>
      </w:r>
      <w:r>
        <w:rPr>
          <w:rFonts w:hint="eastAsia" w:cs="宋体"/>
          <w:color w:val="000000" w:themeColor="text1"/>
          <w:kern w:val="2"/>
          <w:sz w:val="24"/>
          <w:szCs w:val="24"/>
          <w:highlight w:val="none"/>
          <w:lang w:eastAsia="zh-CN"/>
          <w14:textFill>
            <w14:solidFill>
              <w14:schemeClr w14:val="tx1"/>
            </w14:solidFill>
          </w14:textFill>
        </w:rPr>
        <w:t>2025</w:t>
      </w:r>
      <w:r>
        <w:rPr>
          <w:rFonts w:hint="eastAsia" w:ascii="宋体" w:hAnsi="宋体" w:eastAsia="宋体" w:cs="宋体"/>
          <w:color w:val="000000" w:themeColor="text1"/>
          <w:kern w:val="2"/>
          <w:sz w:val="24"/>
          <w:szCs w:val="24"/>
          <w:highlight w:val="none"/>
          <w14:textFill>
            <w14:solidFill>
              <w14:schemeClr w14:val="tx1"/>
            </w14:solidFill>
          </w14:textFill>
        </w:rPr>
        <w:t>年</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2"/>
          <w:sz w:val="24"/>
          <w:szCs w:val="24"/>
          <w:highlight w:val="none"/>
          <w14:textFill>
            <w14:solidFill>
              <w14:schemeClr w14:val="tx1"/>
            </w14:solidFill>
          </w14:textFill>
        </w:rPr>
        <w:t>月</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w:t>
      </w:r>
      <w:r>
        <w:rPr>
          <w:rFonts w:hint="eastAsia" w:cs="宋体"/>
          <w:color w:val="000000" w:themeColor="text1"/>
          <w:kern w:val="2"/>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2"/>
          <w:sz w:val="24"/>
          <w:szCs w:val="24"/>
          <w:highlight w:val="none"/>
          <w14:textFill>
            <w14:solidFill>
              <w14:schemeClr w14:val="tx1"/>
            </w14:solidFill>
          </w14:textFill>
        </w:rPr>
        <w:t>日</w:t>
      </w:r>
      <w:r>
        <w:rPr>
          <w:rFonts w:hint="eastAsia" w:ascii="宋体" w:hAnsi="宋体" w:eastAsia="宋体" w:cs="宋体"/>
          <w:color w:val="000000" w:themeColor="text1"/>
          <w:kern w:val="2"/>
          <w:sz w:val="24"/>
          <w:szCs w:val="24"/>
          <w:highlight w:val="none"/>
          <w14:textFill>
            <w14:solidFill>
              <w14:schemeClr w14:val="tx1"/>
            </w14:solidFill>
          </w14:textFill>
        </w:rPr>
        <w:t>（含节假日），每日上午09:00时至下午17:00时（北京时间，下同），请自行登录国网智能科技股份有限公司供应链管理系统平台（网址：http://jypt.connectxun.com/），完成注册并在系统平台上完成投标报名</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“供应商操作手册”在网站下载中心下载，根据手册完成注册、报名等操作</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。备注：报名时的资料查验不代表</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文件</w:t>
      </w:r>
      <w:r>
        <w:rPr>
          <w:rFonts w:hint="eastAsia" w:ascii="宋体" w:hAnsi="宋体" w:eastAsia="宋体" w:cs="宋体"/>
          <w:color w:val="000000" w:themeColor="text1"/>
          <w:kern w:val="2"/>
          <w:sz w:val="24"/>
          <w:szCs w:val="24"/>
          <w:highlight w:val="none"/>
          <w14:textFill>
            <w14:solidFill>
              <w14:schemeClr w14:val="tx1"/>
            </w14:solidFill>
          </w14:textFill>
        </w:rPr>
        <w:t>资格审查的最终合格或通过。</w:t>
      </w:r>
    </w:p>
    <w:p w14:paraId="1DEA6D19">
      <w:pPr>
        <w:numPr>
          <w:ilvl w:val="0"/>
          <w:numId w:val="0"/>
        </w:numPr>
        <w:adjustRightInd w:val="0"/>
        <w:snapToGrid w:val="0"/>
        <w:spacing w:beforeLines="100" w:afterLines="50" w:line="400" w:lineRule="exac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5.投标文件的</w:t>
      </w:r>
      <w:bookmarkEnd w:id="21"/>
      <w:bookmarkEnd w:id="22"/>
      <w:bookmarkEnd w:id="23"/>
      <w:bookmarkEnd w:id="24"/>
      <w:r>
        <w:rPr>
          <w:rFonts w:hint="eastAsia" w:ascii="宋体" w:hAnsi="宋体" w:eastAsia="宋体" w:cs="宋体"/>
          <w:b/>
          <w:color w:val="000000" w:themeColor="text1"/>
          <w:sz w:val="32"/>
          <w:szCs w:val="32"/>
          <w:highlight w:val="none"/>
          <w14:textFill>
            <w14:solidFill>
              <w14:schemeClr w14:val="tx1"/>
            </w14:solidFill>
          </w14:textFill>
        </w:rPr>
        <w:t>提交</w:t>
      </w:r>
    </w:p>
    <w:p w14:paraId="18E99C05">
      <w:pPr>
        <w:spacing w:beforeLines="-2147483648" w:afterLines="-2147483648" w:line="400" w:lineRule="exact"/>
        <w:ind w:firstLine="482"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5" w:name="_bookmark7"/>
      <w:bookmarkEnd w:id="25"/>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5.1投标文件递交</w:t>
      </w:r>
      <w:r>
        <w:rPr>
          <w:rFonts w:hint="eastAsia" w:ascii="宋体" w:hAnsi="宋体" w:cs="宋体"/>
          <w:b/>
          <w:bCs/>
          <w:color w:val="000000" w:themeColor="text1"/>
          <w:sz w:val="24"/>
          <w:szCs w:val="24"/>
          <w:highlight w:val="none"/>
          <w:lang w:val="en-US" w:eastAsia="zh-CN"/>
          <w14:textFill>
            <w14:solidFill>
              <w14:schemeClr w14:val="tx1"/>
            </w14:solidFill>
          </w14:textFill>
        </w:rPr>
        <w:t>（电子文件递交）</w:t>
      </w:r>
    </w:p>
    <w:p w14:paraId="4E2EF8C6">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本次</w:t>
      </w:r>
      <w:r>
        <w:rPr>
          <w:rFonts w:hint="eastAsia" w:ascii="宋体" w:hAnsi="宋体" w:eastAsia="宋体" w:cs="宋体"/>
          <w:b w:val="0"/>
          <w:bCs w:val="0"/>
          <w:i w:val="0"/>
          <w:iCs w:val="0"/>
          <w:color w:val="000000" w:themeColor="text1"/>
          <w:sz w:val="24"/>
          <w:szCs w:val="24"/>
          <w:highlight w:val="none"/>
          <w:u w:val="none"/>
          <w:lang w:eastAsia="zh-CN"/>
          <w14:textFill>
            <w14:solidFill>
              <w14:schemeClr w14:val="tx1"/>
            </w14:solidFill>
          </w14:textFill>
        </w:rPr>
        <w:t>招标</w:t>
      </w: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项目</w:t>
      </w:r>
      <w:r>
        <w:rPr>
          <w:rFonts w:hint="eastAsia" w:ascii="宋体" w:hAnsi="宋体" w:eastAsia="宋体" w:cs="宋体"/>
          <w:b w:val="0"/>
          <w:bCs w:val="0"/>
          <w:i w:val="0"/>
          <w:iCs w:val="0"/>
          <w:color w:val="000000" w:themeColor="text1"/>
          <w:sz w:val="24"/>
          <w:szCs w:val="24"/>
          <w:highlight w:val="none"/>
          <w:u w:val="none"/>
          <w:lang w:eastAsia="zh-CN"/>
          <w14:textFill>
            <w14:solidFill>
              <w14:schemeClr w14:val="tx1"/>
            </w14:solidFill>
          </w14:textFill>
        </w:rPr>
        <w:t>投标文件</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须</w:t>
      </w: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在</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投标</w:t>
      </w: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截止时间（</w:t>
      </w:r>
      <w:r>
        <w:rPr>
          <w:rFonts w:hint="eastAsia" w:ascii="宋体" w:hAnsi="宋体" w:cs="宋体"/>
          <w:b w:val="0"/>
          <w:bCs w:val="0"/>
          <w:i w:val="0"/>
          <w:iCs w:val="0"/>
          <w:color w:val="000000" w:themeColor="text1"/>
          <w:sz w:val="24"/>
          <w:szCs w:val="24"/>
          <w:highlight w:val="none"/>
          <w:u w:val="none"/>
          <w:lang w:eastAsia="zh-CN"/>
          <w14:textFill>
            <w14:solidFill>
              <w14:schemeClr w14:val="tx1"/>
            </w14:solidFill>
          </w14:textFill>
        </w:rPr>
        <w:t>2025</w:t>
      </w: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年</w:t>
      </w:r>
      <w:r>
        <w:rPr>
          <w:rFonts w:hint="eastAsia" w:ascii="宋体" w:hAnsi="宋体" w:cs="宋体"/>
          <w:b w:val="0"/>
          <w:bCs w:val="0"/>
          <w:i w:val="0"/>
          <w:iCs w:val="0"/>
          <w:color w:val="000000" w:themeColor="text1"/>
          <w:sz w:val="24"/>
          <w:szCs w:val="24"/>
          <w:highlight w:val="none"/>
          <w:u w:val="none"/>
          <w:lang w:val="en-US" w:eastAsia="zh-CN"/>
          <w14:textFill>
            <w14:solidFill>
              <w14:schemeClr w14:val="tx1"/>
            </w14:solidFill>
          </w14:textFill>
        </w:rPr>
        <w:t>7</w:t>
      </w: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月</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2</w:t>
      </w:r>
      <w:r>
        <w:rPr>
          <w:rFonts w:hint="eastAsia" w:ascii="宋体" w:hAnsi="宋体" w:cs="宋体"/>
          <w:b w:val="0"/>
          <w:bCs w:val="0"/>
          <w:i w:val="0"/>
          <w:iCs w:val="0"/>
          <w:color w:val="000000" w:themeColor="text1"/>
          <w:sz w:val="24"/>
          <w:szCs w:val="24"/>
          <w:highlight w:val="none"/>
          <w:u w:val="none"/>
          <w:lang w:val="en-US" w:eastAsia="zh-CN"/>
          <w14:textFill>
            <w14:solidFill>
              <w14:schemeClr w14:val="tx1"/>
            </w14:solidFill>
          </w14:textFill>
        </w:rPr>
        <w:t>9</w:t>
      </w: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日09:00，北京时间</w:t>
      </w: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）前上传至</w:t>
      </w:r>
      <w:r>
        <w:rPr>
          <w:rFonts w:hint="eastAsia" w:ascii="宋体" w:hAnsi="宋体" w:eastAsia="宋体" w:cs="宋体"/>
          <w:color w:val="000000" w:themeColor="text1"/>
          <w:kern w:val="2"/>
          <w:sz w:val="24"/>
          <w:szCs w:val="24"/>
          <w:highlight w:val="none"/>
          <w14:textFill>
            <w14:solidFill>
              <w14:schemeClr w14:val="tx1"/>
            </w14:solidFill>
          </w14:textFill>
        </w:rPr>
        <w:t>国网智能科技股份有限公司供应链管理系统平台（网址：http://jypt.connectxun.com/）</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投标人递交的PDF版本电子投标文件（包括商务文件、技术文件、开标文件）合计建议不大于</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0M</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14:paraId="7FC8B64C">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5.</w:t>
      </w:r>
      <w:r>
        <w:rPr>
          <w:rFonts w:hint="eastAsia" w:ascii="宋体" w:hAnsi="宋体" w:eastAsia="宋体" w:cs="宋体"/>
          <w:b w:val="0"/>
          <w:bCs w:val="0"/>
          <w:i w:val="0"/>
          <w:iCs w:val="0"/>
          <w:color w:val="000000" w:themeColor="text1"/>
          <w:sz w:val="24"/>
          <w:szCs w:val="24"/>
          <w:highlight w:val="none"/>
          <w:u w:val="none"/>
          <w:lang w:eastAsia="zh-CN"/>
          <w14:textFill>
            <w14:solidFill>
              <w14:schemeClr w14:val="tx1"/>
            </w14:solidFill>
          </w14:textFill>
        </w:rPr>
        <w:t>2</w:t>
      </w: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纸质</w:t>
      </w:r>
      <w:r>
        <w:rPr>
          <w:rFonts w:hint="eastAsia" w:ascii="宋体" w:hAnsi="宋体" w:eastAsia="宋体" w:cs="宋体"/>
          <w:b w:val="0"/>
          <w:bCs w:val="0"/>
          <w:i w:val="0"/>
          <w:iCs w:val="0"/>
          <w:color w:val="000000" w:themeColor="text1"/>
          <w:sz w:val="24"/>
          <w:szCs w:val="24"/>
          <w:highlight w:val="none"/>
          <w:u w:val="none"/>
          <w:lang w:eastAsia="zh-CN"/>
          <w14:textFill>
            <w14:solidFill>
              <w14:schemeClr w14:val="tx1"/>
            </w14:solidFill>
          </w14:textFill>
        </w:rPr>
        <w:t>投标文件</w:t>
      </w: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递交</w:t>
      </w:r>
    </w:p>
    <w:p w14:paraId="4D24A72E">
      <w:pPr>
        <w:spacing w:beforeLines="-2147483648" w:afterLines="-2147483648"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纸质标书不适用本次投标。</w:t>
      </w:r>
    </w:p>
    <w:p w14:paraId="0CF64E45">
      <w:pPr>
        <w:spacing w:beforeLines="-2147483648" w:afterLines="-2147483648" w:line="40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5.3投标保证金</w:t>
      </w:r>
      <w:r>
        <w:rPr>
          <w:rFonts w:hint="eastAsia" w:ascii="宋体" w:hAnsi="宋体" w:eastAsia="宋体" w:cs="宋体"/>
          <w:b/>
          <w:bCs/>
          <w:color w:val="000000" w:themeColor="text1"/>
          <w:sz w:val="24"/>
          <w:szCs w:val="24"/>
          <w:highlight w:val="none"/>
          <w14:textFill>
            <w14:solidFill>
              <w14:schemeClr w14:val="tx1"/>
            </w14:solidFill>
          </w14:textFill>
        </w:rPr>
        <w:t>要求</w:t>
      </w:r>
    </w:p>
    <w:p w14:paraId="26472B4A">
      <w:pPr>
        <w:spacing w:beforeLines="-2147483648" w:afterLines="-2147483648"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投标保证金的形式：银行电汇、银行保函、投标保证保险、现金。投标保证金的有效期应与投标有效期一致。</w:t>
      </w:r>
    </w:p>
    <w:p w14:paraId="74D399DA">
      <w:pPr>
        <w:spacing w:beforeLines="-2147483648" w:afterLines="-2147483648"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投标保证金要求：投标人应以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包为单位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交投标保证金,投标保证金应通过投标人“基本账户”对公转账或汇款，不接受个人汇款；投标人以保证金保险方式替代保证金的，应提供保证金保险支付账号信息。投标保证金提交不符合要求的，投标将被拒绝。</w:t>
      </w:r>
    </w:p>
    <w:p w14:paraId="34E5BDDC">
      <w:pPr>
        <w:spacing w:beforeLines="-2147483648" w:afterLines="-2147483648"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账户信息：</w:t>
      </w:r>
    </w:p>
    <w:p w14:paraId="059F33AA">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单位名称：</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山东三誉招标代理有限公司</w:t>
      </w:r>
    </w:p>
    <w:p w14:paraId="4E0F2697">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开户行：</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中国民生银行股份有限公司济南历城支行（原：中国民生银行济南玉函路支行）</w:t>
      </w:r>
    </w:p>
    <w:p w14:paraId="3713B043">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账号：</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 xml:space="preserve">697833452 </w:t>
      </w:r>
    </w:p>
    <w:p w14:paraId="149B2D3D">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行号：3054 5101 6120</w:t>
      </w:r>
    </w:p>
    <w:p w14:paraId="7C1F18EC">
      <w:pPr>
        <w:spacing w:line="400" w:lineRule="exact"/>
        <w:ind w:firstLine="480" w:firstLineChars="20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注：采用银行电汇形式递交投标保证金的投标人，请在附言栏注明标包保证金编码（保证金编码规则：</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项目编号后四位+包名称</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3EE5DCE8">
      <w:pPr>
        <w:numPr>
          <w:ilvl w:val="0"/>
          <w:numId w:val="0"/>
        </w:numPr>
        <w:adjustRightInd w:val="0"/>
        <w:snapToGrid w:val="0"/>
        <w:spacing w:beforeLines="100" w:afterLines="50" w:line="400" w:lineRule="exact"/>
        <w:outlineLvl w:val="1"/>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t>6.开标</w:t>
      </w:r>
    </w:p>
    <w:p w14:paraId="38E9A14F">
      <w:pPr>
        <w:spacing w:line="400" w:lineRule="exact"/>
        <w:ind w:firstLine="482"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6.1开标时间</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投标文件递交截止时间</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2025</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b w:val="0"/>
          <w:bCs w:val="0"/>
          <w:color w:val="000000" w:themeColor="text1"/>
          <w:sz w:val="24"/>
          <w:szCs w:val="24"/>
          <w:highlight w:val="none"/>
          <w14:textFill>
            <w14:solidFill>
              <w14:schemeClr w14:val="tx1"/>
            </w14:solidFill>
          </w14:textFill>
        </w:rPr>
        <w:t>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14:textFill>
            <w14:solidFill>
              <w14:schemeClr w14:val="tx1"/>
            </w14:solidFill>
          </w14:textFill>
        </w:rPr>
        <w:t>：00时</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北京时间）</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14:paraId="5DB9B78B">
      <w:pPr>
        <w:spacing w:line="400" w:lineRule="exact"/>
        <w:ind w:firstLine="482"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6.2开标地点</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国网智能科技股份有限公司供应链管理系统平台线上开标</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14:paraId="7E5D3398">
      <w:pPr>
        <w:spacing w:line="400" w:lineRule="exact"/>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6.3重要提示</w:t>
      </w:r>
    </w:p>
    <w:p w14:paraId="0D665FF4">
      <w:pPr>
        <w:spacing w:beforeLines="-2147483648" w:afterLines="-2147483648" w:line="400" w:lineRule="exact"/>
        <w:ind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各</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投标</w:t>
      </w:r>
      <w:r>
        <w:rPr>
          <w:rFonts w:hint="eastAsia" w:ascii="宋体" w:hAnsi="宋体" w:cs="宋体"/>
          <w:b w:val="0"/>
          <w:bCs w:val="0"/>
          <w:color w:val="000000" w:themeColor="text1"/>
          <w:sz w:val="24"/>
          <w:szCs w:val="24"/>
          <w:highlight w:val="none"/>
          <w:lang w:eastAsia="zh-CN"/>
          <w14:textFill>
            <w14:solidFill>
              <w14:schemeClr w14:val="tx1"/>
            </w14:solidFill>
          </w14:textFill>
        </w:rPr>
        <w:t>人</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通过国网智能科技股份有限公司供应链管理系统平台</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参加</w:t>
      </w:r>
      <w:r>
        <w:rPr>
          <w:rFonts w:hint="eastAsia" w:ascii="宋体" w:hAnsi="宋体" w:eastAsia="宋体" w:cs="宋体"/>
          <w:b w:val="0"/>
          <w:bCs w:val="0"/>
          <w:color w:val="000000" w:themeColor="text1"/>
          <w:sz w:val="24"/>
          <w:szCs w:val="24"/>
          <w:highlight w:val="none"/>
          <w14:textFill>
            <w14:solidFill>
              <w14:schemeClr w14:val="tx1"/>
            </w14:solidFill>
          </w14:textFill>
        </w:rPr>
        <w:t>开标仪式，</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登陆投标人账号后，通过“我的项目→操作台→开标大厅”进入开标大厅页面，在开标大厅界面进行文件解密、开标公示内容的扫码签名等操作</w:t>
      </w:r>
      <w:r>
        <w:rPr>
          <w:rFonts w:hint="eastAsia" w:ascii="宋体" w:hAnsi="宋体" w:eastAsia="宋体" w:cs="宋体"/>
          <w:b w:val="0"/>
          <w:bCs w:val="0"/>
          <w:color w:val="000000" w:themeColor="text1"/>
          <w:sz w:val="24"/>
          <w:szCs w:val="24"/>
          <w:highlight w:val="none"/>
          <w14:textFill>
            <w14:solidFill>
              <w14:schemeClr w14:val="tx1"/>
            </w14:solidFill>
          </w14:textFill>
        </w:rPr>
        <w:t>。如对投标报价有异议，</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投标</w:t>
      </w:r>
      <w:r>
        <w:rPr>
          <w:rFonts w:hint="eastAsia" w:ascii="宋体" w:hAnsi="宋体" w:cs="宋体"/>
          <w:b w:val="0"/>
          <w:bCs w:val="0"/>
          <w:color w:val="000000" w:themeColor="text1"/>
          <w:sz w:val="24"/>
          <w:szCs w:val="24"/>
          <w:highlight w:val="none"/>
          <w:lang w:eastAsia="zh-CN"/>
          <w14:textFill>
            <w14:solidFill>
              <w14:schemeClr w14:val="tx1"/>
            </w14:solidFill>
          </w14:textFill>
        </w:rPr>
        <w:t>人</w:t>
      </w:r>
      <w:r>
        <w:rPr>
          <w:rFonts w:hint="eastAsia" w:ascii="宋体" w:hAnsi="宋体" w:eastAsia="宋体" w:cs="宋体"/>
          <w:b w:val="0"/>
          <w:bCs w:val="0"/>
          <w:color w:val="000000" w:themeColor="text1"/>
          <w:sz w:val="24"/>
          <w:szCs w:val="24"/>
          <w:highlight w:val="none"/>
          <w14:textFill>
            <w14:solidFill>
              <w14:schemeClr w14:val="tx1"/>
            </w14:solidFill>
          </w14:textFill>
        </w:rPr>
        <w:t>根据</w:t>
      </w:r>
      <w:r>
        <w:rPr>
          <w:rFonts w:hint="eastAsia" w:ascii="宋体" w:hAnsi="宋体" w:cs="宋体"/>
          <w:b w:val="0"/>
          <w:bCs w:val="0"/>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b w:val="0"/>
          <w:bCs w:val="0"/>
          <w:color w:val="000000" w:themeColor="text1"/>
          <w:sz w:val="24"/>
          <w:szCs w:val="24"/>
          <w:highlight w:val="none"/>
          <w14:textFill>
            <w14:solidFill>
              <w14:schemeClr w14:val="tx1"/>
            </w14:solidFill>
          </w14:textFill>
        </w:rPr>
        <w:t>格式填写《开标异议受理单》，并及时将该记录表在报价公示后2小时内将扫描件发送至邮箱syzbgs@vip.163.com。</w:t>
      </w:r>
    </w:p>
    <w:p w14:paraId="0D1F7946">
      <w:pPr>
        <w:numPr>
          <w:ilvl w:val="0"/>
          <w:numId w:val="0"/>
        </w:numPr>
        <w:adjustRightInd w:val="0"/>
        <w:snapToGrid w:val="0"/>
        <w:spacing w:beforeLines="100" w:afterLines="50" w:line="400" w:lineRule="exac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7</w:t>
      </w:r>
      <w:r>
        <w:rPr>
          <w:rFonts w:hint="eastAsia" w:ascii="宋体" w:hAnsi="宋体" w:eastAsia="宋体" w:cs="宋体"/>
          <w:b/>
          <w:color w:val="000000" w:themeColor="text1"/>
          <w:sz w:val="32"/>
          <w:szCs w:val="32"/>
          <w:highlight w:val="none"/>
          <w14:textFill>
            <w14:solidFill>
              <w14:schemeClr w14:val="tx1"/>
            </w14:solidFill>
          </w14:textFill>
        </w:rPr>
        <w:t>.发布公告的媒介</w:t>
      </w:r>
    </w:p>
    <w:p w14:paraId="7ACFF242">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本次招标公告同时发布在下列媒体上：</w:t>
      </w:r>
    </w:p>
    <w:p w14:paraId="3B87D689">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中国招标投标公共服务平台:http://www.cebpubservice.com/</w:t>
      </w:r>
    </w:p>
    <w:p w14:paraId="6912AAA0">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供应链管理系统（http://jypt.connectxun.com/）</w:t>
      </w:r>
    </w:p>
    <w:p w14:paraId="057A4E32">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“三誉招标网”</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"http://www.syzbgs.com/zhaobiao/）"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t>http://www.syzbgs.com/zhaobiao/</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5086207C">
      <w:pPr>
        <w:numPr>
          <w:ilvl w:val="0"/>
          <w:numId w:val="0"/>
        </w:numPr>
        <w:adjustRightInd w:val="0"/>
        <w:snapToGrid w:val="0"/>
        <w:spacing w:beforeLines="100" w:afterLines="50" w:line="400" w:lineRule="exac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8</w:t>
      </w:r>
      <w:r>
        <w:rPr>
          <w:rFonts w:hint="eastAsia" w:ascii="宋体" w:hAnsi="宋体" w:eastAsia="宋体" w:cs="宋体"/>
          <w:b/>
          <w:color w:val="000000" w:themeColor="text1"/>
          <w:sz w:val="32"/>
          <w:szCs w:val="32"/>
          <w:highlight w:val="none"/>
          <w14:textFill>
            <w14:solidFill>
              <w14:schemeClr w14:val="tx1"/>
            </w14:solidFill>
          </w14:textFill>
        </w:rPr>
        <w:t>.联系方式</w:t>
      </w:r>
    </w:p>
    <w:p w14:paraId="70A7480C">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招标人：国网智能科技股份有限公司</w:t>
      </w:r>
    </w:p>
    <w:p w14:paraId="756DCD5D">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监督联系人：伊敬敬</w:t>
      </w:r>
    </w:p>
    <w:p w14:paraId="21DA00E5">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监督电话：0531-80817304</w:t>
      </w:r>
    </w:p>
    <w:p w14:paraId="368999AA">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p w14:paraId="15FE3EFC">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招标代理机构：山东三誉招标代理有限公司</w:t>
      </w:r>
    </w:p>
    <w:p w14:paraId="3C8A055B">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地址： 济南市市中区二环南路3377号绿地新都会A1-3号写字楼凯瑞大厦11层1102室。 </w:t>
      </w:r>
    </w:p>
    <w:p w14:paraId="22709E40">
      <w:pPr>
        <w:spacing w:line="400" w:lineRule="exact"/>
        <w:ind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邮编：250000</w:t>
      </w:r>
      <w:bookmarkStart w:id="26" w:name="_GoBack"/>
      <w:bookmarkEnd w:id="26"/>
    </w:p>
    <w:p w14:paraId="15781AC7">
      <w:pPr>
        <w:spacing w:line="400" w:lineRule="exact"/>
        <w:ind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联系人：</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张月秀、</w:t>
      </w:r>
      <w:r>
        <w:rPr>
          <w:rFonts w:hint="eastAsia" w:ascii="宋体" w:hAnsi="宋体" w:eastAsia="宋体" w:cs="宋体"/>
          <w:b w:val="0"/>
          <w:bCs w:val="0"/>
          <w:color w:val="000000" w:themeColor="text1"/>
          <w:sz w:val="24"/>
          <w:szCs w:val="24"/>
          <w:highlight w:val="none"/>
          <w14:textFill>
            <w14:solidFill>
              <w14:schemeClr w14:val="tx1"/>
            </w14:solidFill>
          </w14:textFill>
        </w:rPr>
        <w:t>张如意</w:t>
      </w:r>
    </w:p>
    <w:p w14:paraId="79E700C2">
      <w:pPr>
        <w:spacing w:line="400" w:lineRule="exact"/>
        <w:ind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lang w:val="en-US" w:eastAsia="zh-CN"/>
          <w14:textFill>
            <w14:solidFill>
              <w14:schemeClr w14:val="tx1"/>
            </w14:solidFill>
          </w14:textFill>
        </w:rPr>
        <w:t>155 5047 2981/155 5047 0305</w:t>
      </w:r>
    </w:p>
    <w:p w14:paraId="3FE41086">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电子邮箱：syzbgs@vip.163.com</w:t>
      </w:r>
    </w:p>
    <w:p w14:paraId="7AA3367E">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开户名称：山东三誉招标代理有限公司</w:t>
      </w:r>
    </w:p>
    <w:p w14:paraId="72D6B826">
      <w:pPr>
        <w:spacing w:line="400" w:lineRule="exact"/>
        <w:ind w:firstLine="480" w:firstLineChars="20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开户银行：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中国民生银行股份有限公司济南历城支行（原：中国民生银行济南玉函路支行）</w:t>
      </w:r>
    </w:p>
    <w:p w14:paraId="6259AC88">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帐    号：697833452</w:t>
      </w:r>
    </w:p>
    <w:p w14:paraId="4CA07005">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网址：</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"http://www.syzbgs.com/zhaobiao"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t>http://www.syzbgs.com/zhaobiao</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4D953AEF">
      <w:pPr>
        <w:numPr>
          <w:ilvl w:val="0"/>
          <w:numId w:val="0"/>
        </w:numPr>
        <w:adjustRightInd w:val="0"/>
        <w:snapToGrid w:val="0"/>
        <w:spacing w:beforeLines="100" w:afterLines="50" w:line="400" w:lineRule="exac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9</w:t>
      </w:r>
      <w:r>
        <w:rPr>
          <w:rFonts w:hint="eastAsia" w:ascii="宋体" w:hAnsi="宋体" w:eastAsia="宋体" w:cs="宋体"/>
          <w:b/>
          <w:color w:val="000000" w:themeColor="text1"/>
          <w:sz w:val="32"/>
          <w:szCs w:val="32"/>
          <w:highlight w:val="none"/>
          <w14:textFill>
            <w14:solidFill>
              <w14:schemeClr w14:val="tx1"/>
            </w14:solidFill>
          </w14:textFill>
        </w:rPr>
        <w:t>.合规声明</w:t>
      </w:r>
    </w:p>
    <w:p w14:paraId="476A14DC">
      <w:pPr>
        <w:pStyle w:val="13"/>
        <w:tabs>
          <w:tab w:val="left" w:pos="0"/>
        </w:tabs>
        <w:spacing w:line="400" w:lineRule="exact"/>
        <w:ind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本招标文件（包括商务部分和技术部分）符合国家现行法律法规规定，若国家颁布新的法律法规或对现有法律法规进行修订，以新施行的法律法规规定为准。</w:t>
      </w:r>
    </w:p>
    <w:p w14:paraId="657EF44A">
      <w:pPr>
        <w:numPr>
          <w:ilvl w:val="0"/>
          <w:numId w:val="0"/>
        </w:numPr>
        <w:adjustRightInd w:val="0"/>
        <w:snapToGrid w:val="0"/>
        <w:spacing w:beforeLines="100" w:afterLines="50" w:line="400" w:lineRule="exac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10</w:t>
      </w:r>
      <w:r>
        <w:rPr>
          <w:rFonts w:hint="eastAsia" w:ascii="宋体" w:hAnsi="宋体" w:eastAsia="宋体" w:cs="宋体"/>
          <w:b/>
          <w:color w:val="000000" w:themeColor="text1"/>
          <w:sz w:val="32"/>
          <w:szCs w:val="32"/>
          <w:highlight w:val="none"/>
          <w14:textFill>
            <w14:solidFill>
              <w14:schemeClr w14:val="tx1"/>
            </w14:solidFill>
          </w14:textFill>
        </w:rPr>
        <w:t>.权利声明</w:t>
      </w:r>
    </w:p>
    <w:p w14:paraId="01B18FD1">
      <w:pPr>
        <w:pStyle w:val="13"/>
        <w:tabs>
          <w:tab w:val="left" w:pos="0"/>
        </w:tabs>
        <w:spacing w:line="400" w:lineRule="exact"/>
        <w:ind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禁止对本招标文件或公示信息（依法必须招标项目的招标公告部分除外）进行任何形式的转载（包括但不限于部分或全文转载、修改后转载）或任何未经书面授权的使用。转载依法必须招标项目的招标公告或公示信息的，不得改变招标公告和公示信息的内容，须注明信息来源，不得用于非法用途。任何单位或个人不得违法转载（包括但不限于改变内容转载、转载不注明来源、遗漏或不及时转载修改或补充内容等）招标公告或公示信息、不得对招标公告或公示信息等内容进行不全面、不准确、不客观地分析或使用，任何单位或个人违法或违反本条规定转载、使用本招标文件或公示信息的，招标人将依法追究法律责任。</w:t>
      </w:r>
    </w:p>
    <w:p w14:paraId="5295A13B">
      <w:pPr>
        <w:wordWrap w:val="0"/>
        <w:spacing w:line="400" w:lineRule="exact"/>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pPr>
    </w:p>
    <w:p w14:paraId="531CF11D">
      <w:pPr>
        <w:wordWrap w:val="0"/>
        <w:spacing w:line="400" w:lineRule="exact"/>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pPr>
    </w:p>
    <w:p w14:paraId="535EE331">
      <w:pPr>
        <w:wordWrap w:val="0"/>
        <w:spacing w:line="400" w:lineRule="exact"/>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sectPr>
          <w:footerReference r:id="rId3" w:type="default"/>
          <w:pgSz w:w="11906" w:h="16838"/>
          <w:pgMar w:top="1134" w:right="1800" w:bottom="1134" w:left="1800"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cs="宋体"/>
          <w:color w:val="000000" w:themeColor="text1"/>
          <w:sz w:val="24"/>
          <w:szCs w:val="24"/>
          <w:highlight w:val="none"/>
          <w:lang w:val="en-US"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日 </w:t>
      </w:r>
    </w:p>
    <w:p w14:paraId="353CE606">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10"/>
        <w:tblW w:w="14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21"/>
        <w:gridCol w:w="3657"/>
        <w:gridCol w:w="911"/>
        <w:gridCol w:w="767"/>
        <w:gridCol w:w="1222"/>
        <w:gridCol w:w="1793"/>
        <w:gridCol w:w="1191"/>
        <w:gridCol w:w="2824"/>
      </w:tblGrid>
      <w:tr w14:paraId="3952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66" w:type="dxa"/>
            <w:noWrap w:val="0"/>
            <w:vAlign w:val="center"/>
          </w:tcPr>
          <w:p w14:paraId="54745305">
            <w:pPr>
              <w:widowControl/>
              <w:ind w:left="0" w:leftChars="0" w:firstLine="0" w:firstLineChars="0"/>
              <w:jc w:val="center"/>
              <w:rPr>
                <w:rFonts w:hint="default"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项目名称</w:t>
            </w:r>
          </w:p>
        </w:tc>
        <w:tc>
          <w:tcPr>
            <w:tcW w:w="1121" w:type="dxa"/>
            <w:noWrap w:val="0"/>
            <w:vAlign w:val="center"/>
          </w:tcPr>
          <w:p w14:paraId="70348761">
            <w:pPr>
              <w:widowControl/>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物资</w:t>
            </w:r>
          </w:p>
          <w:p w14:paraId="2F3A7B2C">
            <w:pPr>
              <w:widowControl/>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名称</w:t>
            </w:r>
          </w:p>
        </w:tc>
        <w:tc>
          <w:tcPr>
            <w:tcW w:w="3657" w:type="dxa"/>
            <w:noWrap w:val="0"/>
            <w:vAlign w:val="center"/>
          </w:tcPr>
          <w:p w14:paraId="218DA851">
            <w:pPr>
              <w:keepNext w:val="0"/>
              <w:keepLines w:val="0"/>
              <w:pageBreakBefore w:val="0"/>
              <w:widowControl/>
              <w:kinsoku/>
              <w:wordWrap/>
              <w:overflowPunct/>
              <w:autoSpaceDE/>
              <w:autoSpaceDN/>
              <w:bidi w:val="0"/>
              <w:snapToGrid w:val="0"/>
              <w:spacing w:line="240" w:lineRule="auto"/>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主要技术要求</w:t>
            </w:r>
          </w:p>
        </w:tc>
        <w:tc>
          <w:tcPr>
            <w:tcW w:w="911" w:type="dxa"/>
            <w:noWrap w:val="0"/>
            <w:vAlign w:val="center"/>
          </w:tcPr>
          <w:p w14:paraId="2B143EDB">
            <w:pPr>
              <w:widowControl/>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单位</w:t>
            </w:r>
          </w:p>
        </w:tc>
        <w:tc>
          <w:tcPr>
            <w:tcW w:w="767" w:type="dxa"/>
            <w:noWrap w:val="0"/>
            <w:vAlign w:val="center"/>
          </w:tcPr>
          <w:p w14:paraId="466E92E9">
            <w:pPr>
              <w:widowControl/>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数量</w:t>
            </w:r>
          </w:p>
        </w:tc>
        <w:tc>
          <w:tcPr>
            <w:tcW w:w="1222" w:type="dxa"/>
            <w:noWrap w:val="0"/>
            <w:vAlign w:val="center"/>
          </w:tcPr>
          <w:p w14:paraId="7A858E9C">
            <w:pPr>
              <w:widowControl/>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交货日期</w:t>
            </w:r>
          </w:p>
        </w:tc>
        <w:tc>
          <w:tcPr>
            <w:tcW w:w="1793" w:type="dxa"/>
            <w:noWrap w:val="0"/>
            <w:vAlign w:val="center"/>
          </w:tcPr>
          <w:p w14:paraId="7813DCA8">
            <w:pPr>
              <w:widowControl/>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质保期（不低于）</w:t>
            </w:r>
          </w:p>
        </w:tc>
        <w:tc>
          <w:tcPr>
            <w:tcW w:w="1191" w:type="dxa"/>
            <w:noWrap w:val="0"/>
            <w:vAlign w:val="center"/>
          </w:tcPr>
          <w:p w14:paraId="214CFBFA">
            <w:pPr>
              <w:widowControl/>
              <w:ind w:left="0" w:leftChars="0" w:firstLine="0" w:firstLineChars="0"/>
              <w:jc w:val="center"/>
              <w:rPr>
                <w:rFonts w:hint="eastAsia"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交货地点</w:t>
            </w:r>
          </w:p>
        </w:tc>
        <w:tc>
          <w:tcPr>
            <w:tcW w:w="2824" w:type="dxa"/>
            <w:noWrap w:val="0"/>
            <w:vAlign w:val="center"/>
          </w:tcPr>
          <w:p w14:paraId="7555A5A3">
            <w:pPr>
              <w:widowControl/>
              <w:ind w:left="0" w:leftChars="0" w:firstLine="0" w:firstLineChars="0"/>
              <w:jc w:val="center"/>
              <w:rPr>
                <w:rFonts w:hint="default" w:asciiTheme="minorEastAsia" w:hAnsiTheme="minorEastAsia" w:eastAsiaTheme="minorEastAsia" w:cstheme="minorEastAsia"/>
                <w:b/>
                <w:bCs/>
                <w:color w:val="000000"/>
                <w:kern w:val="0"/>
                <w:sz w:val="24"/>
                <w:szCs w:val="24"/>
                <w:highlight w:val="none"/>
                <w:lang w:val="en-US" w:eastAsia="zh-CN"/>
              </w:rPr>
            </w:pPr>
            <w:r>
              <w:rPr>
                <w:rFonts w:hint="eastAsia" w:asciiTheme="minorEastAsia" w:hAnsiTheme="minorEastAsia" w:eastAsiaTheme="minorEastAsia" w:cstheme="minorEastAsia"/>
                <w:b/>
                <w:bCs/>
                <w:color w:val="000000"/>
                <w:kern w:val="0"/>
                <w:sz w:val="24"/>
                <w:szCs w:val="24"/>
                <w:highlight w:val="none"/>
                <w:lang w:val="en-US" w:eastAsia="zh-CN"/>
              </w:rPr>
              <w:t>专用业绩要求</w:t>
            </w:r>
          </w:p>
        </w:tc>
      </w:tr>
      <w:tr w14:paraId="5417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66" w:type="dxa"/>
            <w:vMerge w:val="restart"/>
            <w:noWrap w:val="0"/>
            <w:vAlign w:val="center"/>
          </w:tcPr>
          <w:p w14:paraId="1D21CA72">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培训显示单元等采购项目</w:t>
            </w:r>
          </w:p>
        </w:tc>
        <w:tc>
          <w:tcPr>
            <w:tcW w:w="1121" w:type="dxa"/>
            <w:noWrap w:val="0"/>
            <w:vAlign w:val="center"/>
          </w:tcPr>
          <w:p w14:paraId="142ECCF3">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培训显示</w:t>
            </w:r>
            <w:r>
              <w:rPr>
                <w:rFonts w:hint="eastAsia" w:asciiTheme="minorEastAsia" w:hAnsiTheme="minorEastAsia" w:eastAsiaTheme="minorEastAsia" w:cstheme="minorEastAsia"/>
                <w:sz w:val="24"/>
                <w:szCs w:val="24"/>
                <w:highlight w:val="none"/>
                <w:lang w:val="en-US" w:eastAsia="zh-CN"/>
              </w:rPr>
              <w:t>模组</w:t>
            </w:r>
          </w:p>
        </w:tc>
        <w:tc>
          <w:tcPr>
            <w:tcW w:w="3657" w:type="dxa"/>
            <w:noWrap w:val="0"/>
            <w:vAlign w:val="center"/>
          </w:tcPr>
          <w:p w14:paraId="6734DC07">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点间距≤1.53mm。金线灯珠、显示装置基本功能：PWM恒流驱动设计，采用RGB晶片全倒装技术，晶片直接焊在PCB上，无焊线，散热好；防护功能：具有防尘防水、防反光、耐变黄等功能特点。防静电、抗震动、防电磁干扰、抗雷击等功能，具有电源过压、过流、断电保护、分布上电措施，具有实时监控温度、故障报警功能；使用寿命（h）：≥12万；工作温度： -20°—50°；工作时间：7×24小时连续工作。色温：20K-20000K可调；水平视角：≥175° ；垂直视角：≥175°；发光点中心距偏差：≤0.8%；亮度：0~800cd/㎡可选；亮度均匀性：≥99%；刷新率≥3840HZ；对比度：≥10000:1；平整度：≤0.15mm。含安装框架等辅材。</w:t>
            </w:r>
          </w:p>
        </w:tc>
        <w:tc>
          <w:tcPr>
            <w:tcW w:w="911" w:type="dxa"/>
            <w:noWrap w:val="0"/>
            <w:vAlign w:val="center"/>
          </w:tcPr>
          <w:p w14:paraId="1011BCBD">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平方</w:t>
            </w:r>
          </w:p>
        </w:tc>
        <w:tc>
          <w:tcPr>
            <w:tcW w:w="767" w:type="dxa"/>
            <w:noWrap w:val="0"/>
            <w:vAlign w:val="center"/>
          </w:tcPr>
          <w:p w14:paraId="6E224F11">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15.3</w:t>
            </w:r>
          </w:p>
        </w:tc>
        <w:tc>
          <w:tcPr>
            <w:tcW w:w="1222" w:type="dxa"/>
            <w:noWrap w:val="0"/>
            <w:vAlign w:val="center"/>
          </w:tcPr>
          <w:p w14:paraId="0CE6DF2D">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793" w:type="dxa"/>
            <w:noWrap w:val="0"/>
            <w:vAlign w:val="center"/>
          </w:tcPr>
          <w:p w14:paraId="1C49B9F6">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1191" w:type="dxa"/>
            <w:noWrap w:val="0"/>
            <w:vAlign w:val="center"/>
          </w:tcPr>
          <w:p w14:paraId="78181342">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2824" w:type="dxa"/>
            <w:vMerge w:val="restart"/>
            <w:noWrap w:val="0"/>
            <w:vAlign w:val="center"/>
          </w:tcPr>
          <w:p w14:paraId="5EE87D53">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业绩要求：</w:t>
            </w:r>
            <w:r>
              <w:rPr>
                <w:rFonts w:hint="eastAsia" w:asciiTheme="minorEastAsia" w:hAnsiTheme="minorEastAsia" w:eastAsiaTheme="minorEastAsia" w:cstheme="minorEastAsia"/>
                <w:sz w:val="24"/>
                <w:szCs w:val="24"/>
                <w:highlight w:val="none"/>
              </w:rPr>
              <w:t>2022年1月1日至投标截止日内，完成信息化设备相类似业绩不少于1份，累计金额不低于190万元。注:业绩必须提供对应的合同复印件、发票和相应查验截图。</w:t>
            </w:r>
          </w:p>
        </w:tc>
      </w:tr>
      <w:tr w14:paraId="7710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66" w:type="dxa"/>
            <w:vMerge w:val="continue"/>
            <w:noWrap w:val="0"/>
            <w:vAlign w:val="center"/>
          </w:tcPr>
          <w:p w14:paraId="4E923203">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c>
          <w:tcPr>
            <w:tcW w:w="1121" w:type="dxa"/>
            <w:noWrap w:val="0"/>
            <w:vAlign w:val="center"/>
          </w:tcPr>
          <w:p w14:paraId="429340D6">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教学终端模组</w:t>
            </w:r>
          </w:p>
        </w:tc>
        <w:tc>
          <w:tcPr>
            <w:tcW w:w="3657" w:type="dxa"/>
            <w:noWrap w:val="0"/>
            <w:vAlign w:val="center"/>
          </w:tcPr>
          <w:p w14:paraId="66B7C543">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处理器：性能不低于I5（14代及以上）</w:t>
            </w:r>
          </w:p>
          <w:p w14:paraId="70968565">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内存：容量不低于16GB</w:t>
            </w:r>
          </w:p>
          <w:p w14:paraId="6BA66AAF">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存储：容量不低于512GB M.2 NVMe SSD</w:t>
            </w:r>
          </w:p>
          <w:p w14:paraId="5F5FD7A0">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屏幕：不小于14寸，屏幕比例：16：9，分辨率不低于1920*1080</w:t>
            </w:r>
          </w:p>
          <w:p w14:paraId="7B69DDD1">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支持国网学堂考试软件、国网内网主要应用程序安装使用，支持便携式移动使用。</w:t>
            </w:r>
          </w:p>
        </w:tc>
        <w:tc>
          <w:tcPr>
            <w:tcW w:w="911" w:type="dxa"/>
            <w:noWrap w:val="0"/>
            <w:vAlign w:val="center"/>
          </w:tcPr>
          <w:p w14:paraId="10D96868">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台</w:t>
            </w:r>
          </w:p>
        </w:tc>
        <w:tc>
          <w:tcPr>
            <w:tcW w:w="767" w:type="dxa"/>
            <w:noWrap w:val="0"/>
            <w:vAlign w:val="center"/>
          </w:tcPr>
          <w:p w14:paraId="6A62E5E6">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500</w:t>
            </w:r>
          </w:p>
        </w:tc>
        <w:tc>
          <w:tcPr>
            <w:tcW w:w="1222" w:type="dxa"/>
            <w:noWrap w:val="0"/>
            <w:vAlign w:val="center"/>
          </w:tcPr>
          <w:p w14:paraId="07966DD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793" w:type="dxa"/>
            <w:noWrap w:val="0"/>
            <w:vAlign w:val="center"/>
          </w:tcPr>
          <w:p w14:paraId="2DF652C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1191" w:type="dxa"/>
            <w:noWrap w:val="0"/>
            <w:vAlign w:val="center"/>
          </w:tcPr>
          <w:p w14:paraId="6E1447B0">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2824" w:type="dxa"/>
            <w:vMerge w:val="continue"/>
            <w:noWrap w:val="0"/>
            <w:vAlign w:val="center"/>
          </w:tcPr>
          <w:p w14:paraId="3B9CEC3F">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4D66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66" w:type="dxa"/>
            <w:vMerge w:val="continue"/>
            <w:noWrap w:val="0"/>
            <w:vAlign w:val="center"/>
          </w:tcPr>
          <w:p w14:paraId="4C164E1C">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c>
          <w:tcPr>
            <w:tcW w:w="1121" w:type="dxa"/>
            <w:noWrap w:val="0"/>
            <w:vAlign w:val="center"/>
          </w:tcPr>
          <w:p w14:paraId="0516651B">
            <w:pPr>
              <w:widowControl/>
              <w:ind w:left="0" w:leftChars="0" w:firstLine="0" w:firstLineChars="0"/>
              <w:jc w:val="both"/>
              <w:textAlignment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显示装置控制</w:t>
            </w:r>
            <w:r>
              <w:rPr>
                <w:rFonts w:hint="eastAsia" w:asciiTheme="minorEastAsia" w:hAnsiTheme="minorEastAsia" w:eastAsiaTheme="minorEastAsia" w:cstheme="minorEastAsia"/>
                <w:sz w:val="24"/>
                <w:szCs w:val="24"/>
                <w:highlight w:val="none"/>
                <w:lang w:val="en-US" w:eastAsia="zh-CN"/>
              </w:rPr>
              <w:t>模组</w:t>
            </w:r>
          </w:p>
        </w:tc>
        <w:tc>
          <w:tcPr>
            <w:tcW w:w="3657" w:type="dxa"/>
            <w:noWrap w:val="0"/>
            <w:vAlign w:val="center"/>
          </w:tcPr>
          <w:p w14:paraId="4F75799C">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级显示装置控制器，2路HDMI和1路DVI、具备强大的视频信号接收和处理能力，最大可接收1920×1200像素的高清数字信号；支持HDMI和DVI高清数字接口，多路信号间无缝切换；支持视频源任意缩放和裁剪。具备4个千兆网口输出，单机可支持最宽4096像素或最高2560像素的显示装置。提供灵活的屏幕控制和高品质的图像显示，具有2类视频输入接口，最大输入分辨率1920×1200@60Hz，支持分辨率任意设置；最大带载260万像素，最宽可达4096点，或最高可达2560点；支持视频源任意切换，缩放和裁剪；支持画面偏移；双USB 2.0高速通讯接口，用于电脑调试和主控间任意级联；支持亮度和色温调节；支持低亮高灰；支持HDCP 1.4。</w:t>
            </w:r>
          </w:p>
        </w:tc>
        <w:tc>
          <w:tcPr>
            <w:tcW w:w="911" w:type="dxa"/>
            <w:noWrap w:val="0"/>
            <w:vAlign w:val="center"/>
          </w:tcPr>
          <w:p w14:paraId="55E0FB2B">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台</w:t>
            </w:r>
          </w:p>
        </w:tc>
        <w:tc>
          <w:tcPr>
            <w:tcW w:w="767" w:type="dxa"/>
            <w:noWrap w:val="0"/>
            <w:vAlign w:val="center"/>
          </w:tcPr>
          <w:p w14:paraId="4AF0ED9F">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3</w:t>
            </w:r>
          </w:p>
        </w:tc>
        <w:tc>
          <w:tcPr>
            <w:tcW w:w="1222" w:type="dxa"/>
            <w:noWrap w:val="0"/>
            <w:vAlign w:val="center"/>
          </w:tcPr>
          <w:p w14:paraId="77E973A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793" w:type="dxa"/>
            <w:noWrap w:val="0"/>
            <w:vAlign w:val="center"/>
          </w:tcPr>
          <w:p w14:paraId="35EDEE6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1191" w:type="dxa"/>
            <w:noWrap w:val="0"/>
            <w:vAlign w:val="center"/>
          </w:tcPr>
          <w:p w14:paraId="623090F6">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2824" w:type="dxa"/>
            <w:vMerge w:val="continue"/>
            <w:noWrap w:val="0"/>
            <w:vAlign w:val="center"/>
          </w:tcPr>
          <w:p w14:paraId="5E3A29EA">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4FDB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766" w:type="dxa"/>
            <w:vMerge w:val="continue"/>
            <w:noWrap w:val="0"/>
            <w:vAlign w:val="center"/>
          </w:tcPr>
          <w:p w14:paraId="6EB19578">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c>
          <w:tcPr>
            <w:tcW w:w="1121" w:type="dxa"/>
            <w:noWrap w:val="0"/>
            <w:vAlign w:val="center"/>
          </w:tcPr>
          <w:p w14:paraId="567B9926">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吸顶式扬声器</w:t>
            </w:r>
          </w:p>
        </w:tc>
        <w:tc>
          <w:tcPr>
            <w:tcW w:w="3657" w:type="dxa"/>
            <w:noWrap w:val="0"/>
            <w:vAlign w:val="center"/>
          </w:tcPr>
          <w:p w14:paraId="3A9A8F2A">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参数：5.25 英寸低音单元，可支持低至 40 Hz 全向低音。输入灵敏度：1.025V 满负荷分配给 4Ω负载，信噪比（20Hz--20KHz）：&gt;100dB、总谐波失真（THD）：&lt;0.15%互调失真（IMD）额定功率下，输出值为--40dB 时：&lt;0.3%。</w:t>
            </w:r>
          </w:p>
        </w:tc>
        <w:tc>
          <w:tcPr>
            <w:tcW w:w="911" w:type="dxa"/>
            <w:noWrap w:val="0"/>
            <w:vAlign w:val="center"/>
          </w:tcPr>
          <w:p w14:paraId="58B10F79">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只</w:t>
            </w:r>
          </w:p>
        </w:tc>
        <w:tc>
          <w:tcPr>
            <w:tcW w:w="767" w:type="dxa"/>
            <w:noWrap w:val="0"/>
            <w:vAlign w:val="center"/>
          </w:tcPr>
          <w:p w14:paraId="441D60EA">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12</w:t>
            </w:r>
          </w:p>
        </w:tc>
        <w:tc>
          <w:tcPr>
            <w:tcW w:w="1222" w:type="dxa"/>
            <w:noWrap w:val="0"/>
            <w:vAlign w:val="center"/>
          </w:tcPr>
          <w:p w14:paraId="07C27AA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793" w:type="dxa"/>
            <w:noWrap w:val="0"/>
            <w:vAlign w:val="center"/>
          </w:tcPr>
          <w:p w14:paraId="2064F5E3">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1191" w:type="dxa"/>
            <w:noWrap w:val="0"/>
            <w:vAlign w:val="center"/>
          </w:tcPr>
          <w:p w14:paraId="54440689">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2824" w:type="dxa"/>
            <w:vMerge w:val="continue"/>
            <w:noWrap w:val="0"/>
            <w:vAlign w:val="center"/>
          </w:tcPr>
          <w:p w14:paraId="2BD1B062">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215D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766" w:type="dxa"/>
            <w:vMerge w:val="continue"/>
            <w:noWrap w:val="0"/>
            <w:vAlign w:val="center"/>
          </w:tcPr>
          <w:p w14:paraId="62EF5087">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c>
          <w:tcPr>
            <w:tcW w:w="1121" w:type="dxa"/>
            <w:noWrap w:val="0"/>
            <w:vAlign w:val="center"/>
          </w:tcPr>
          <w:p w14:paraId="37885487">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合并功放机</w:t>
            </w:r>
          </w:p>
        </w:tc>
        <w:tc>
          <w:tcPr>
            <w:tcW w:w="3657" w:type="dxa"/>
            <w:noWrap w:val="0"/>
            <w:vAlign w:val="center"/>
          </w:tcPr>
          <w:p w14:paraId="1E377CE1">
            <w:pPr>
              <w:keepNext w:val="0"/>
              <w:keepLines w:val="0"/>
              <w:pageBreakBefore w:val="0"/>
              <w:widowControl/>
              <w:kinsoku/>
              <w:wordWrap/>
              <w:overflowPunct/>
              <w:autoSpaceDE/>
              <w:autoSpaceDN/>
              <w:bidi w:val="0"/>
              <w:snapToGrid w:val="0"/>
              <w:spacing w:line="240" w:lineRule="auto"/>
              <w:ind w:left="0" w:leftChars="0" w:firstLine="0" w:firstLineChars="0"/>
              <w:jc w:val="left"/>
              <w:textAlignment w:val="center"/>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前显示屏带USB功能音频接入、带蓝牙音频接入、带FM收音机。前面板3个MIC接入口，带混响效果及独立调试混响部份，深度和延时各功能。后面板音频AUX-A/B 输入切换及双声输出可外接两台功放同步使用，8欧4组音箱端子输出，可同时接入4只音箱输出功率:(8Ω)；失 真 度:&lt;0.01%；频率响应:5Hz-50KHz±3dB；信嘈比:-103dB；音频输入灵敏度:0.70/50KΩ；视频输入灵敏度:1Vp-p/75Ω；辅助音频输出:0.70V/50KΩ；视频输出:1Vp-p/75</w:t>
            </w:r>
          </w:p>
        </w:tc>
        <w:tc>
          <w:tcPr>
            <w:tcW w:w="911" w:type="dxa"/>
            <w:noWrap w:val="0"/>
            <w:vAlign w:val="center"/>
          </w:tcPr>
          <w:p w14:paraId="08BE223A">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台</w:t>
            </w:r>
          </w:p>
        </w:tc>
        <w:tc>
          <w:tcPr>
            <w:tcW w:w="767" w:type="dxa"/>
            <w:noWrap w:val="0"/>
            <w:vAlign w:val="center"/>
          </w:tcPr>
          <w:p w14:paraId="64D52AEA">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222" w:type="dxa"/>
            <w:noWrap w:val="0"/>
            <w:vAlign w:val="center"/>
          </w:tcPr>
          <w:p w14:paraId="2EA0D3B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793" w:type="dxa"/>
            <w:noWrap w:val="0"/>
            <w:vAlign w:val="center"/>
          </w:tcPr>
          <w:p w14:paraId="441A24B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1191" w:type="dxa"/>
            <w:noWrap w:val="0"/>
            <w:vAlign w:val="center"/>
          </w:tcPr>
          <w:p w14:paraId="6307D3FA">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2824" w:type="dxa"/>
            <w:vMerge w:val="continue"/>
            <w:noWrap w:val="0"/>
            <w:vAlign w:val="center"/>
          </w:tcPr>
          <w:p w14:paraId="3722E0E7">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6F19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66" w:type="dxa"/>
            <w:vMerge w:val="continue"/>
            <w:noWrap w:val="0"/>
            <w:vAlign w:val="center"/>
          </w:tcPr>
          <w:p w14:paraId="4FBCEC97">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c>
          <w:tcPr>
            <w:tcW w:w="1121" w:type="dxa"/>
            <w:noWrap w:val="0"/>
            <w:vAlign w:val="center"/>
          </w:tcPr>
          <w:p w14:paraId="1975DB29">
            <w:pPr>
              <w:widowControl/>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全自动混音器</w:t>
            </w:r>
          </w:p>
        </w:tc>
        <w:tc>
          <w:tcPr>
            <w:tcW w:w="3657" w:type="dxa"/>
            <w:noWrap w:val="0"/>
            <w:vAlign w:val="center"/>
          </w:tcPr>
          <w:p w14:paraId="21F46BD4">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支持8个通道48V电源独立开启或关闭、支持AUX通道输入允许第三方信号源输入并且具有独立音量声音大小电平控制、信号输出支持两路混音输出，1路平衡输出和1路6.35不平衡输出、8个平衡式输入端口，可连接话筒或者线路电平信号、每通道带有独立的音量控制、每通道都可调整门闸衰减电平、会自动开启只有信号输入的声道，声音闸门动作电平能自动调整、NOMA(Number of Open Microphone Attenuated)可依据使用通道的多少自动调整输入电平、第1-4话筒通道都可独立切换成优先预设模式，先进先出、可连接16台主机，最多达128支话筒的会议系统、每个话筒通道都有压缩限幅功能、具有一组RCA接口输入、两组音频输出提供给扩声系统或其他器材、带耳机输出插座。</w:t>
            </w:r>
          </w:p>
        </w:tc>
        <w:tc>
          <w:tcPr>
            <w:tcW w:w="911" w:type="dxa"/>
            <w:noWrap w:val="0"/>
            <w:vAlign w:val="center"/>
          </w:tcPr>
          <w:p w14:paraId="5FAAADE0">
            <w:pPr>
              <w:widowControl/>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台</w:t>
            </w:r>
          </w:p>
        </w:tc>
        <w:tc>
          <w:tcPr>
            <w:tcW w:w="767" w:type="dxa"/>
            <w:noWrap w:val="0"/>
            <w:vAlign w:val="center"/>
          </w:tcPr>
          <w:p w14:paraId="7835F46E">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1222" w:type="dxa"/>
            <w:noWrap w:val="0"/>
            <w:vAlign w:val="center"/>
          </w:tcPr>
          <w:p w14:paraId="4F96C81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793" w:type="dxa"/>
            <w:noWrap w:val="0"/>
            <w:vAlign w:val="center"/>
          </w:tcPr>
          <w:p w14:paraId="13E2D3B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1191" w:type="dxa"/>
            <w:noWrap w:val="0"/>
            <w:vAlign w:val="center"/>
          </w:tcPr>
          <w:p w14:paraId="42742A82">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2824" w:type="dxa"/>
            <w:vMerge w:val="continue"/>
            <w:noWrap w:val="0"/>
            <w:vAlign w:val="center"/>
          </w:tcPr>
          <w:p w14:paraId="186FA703">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550D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766" w:type="dxa"/>
            <w:vMerge w:val="continue"/>
            <w:noWrap w:val="0"/>
            <w:vAlign w:val="center"/>
          </w:tcPr>
          <w:p w14:paraId="2A9BF7F0">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c>
          <w:tcPr>
            <w:tcW w:w="1121" w:type="dxa"/>
            <w:noWrap w:val="0"/>
            <w:vAlign w:val="center"/>
          </w:tcPr>
          <w:p w14:paraId="6B98AB21">
            <w:pPr>
              <w:widowControl/>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电源时序器</w:t>
            </w:r>
          </w:p>
        </w:tc>
        <w:tc>
          <w:tcPr>
            <w:tcW w:w="3657" w:type="dxa"/>
            <w:noWrap w:val="0"/>
            <w:vAlign w:val="center"/>
          </w:tcPr>
          <w:p w14:paraId="0E53217E">
            <w:pPr>
              <w:keepNext w:val="0"/>
              <w:keepLines w:val="0"/>
              <w:pageBreakBefore w:val="0"/>
              <w:widowControl/>
              <w:kinsoku/>
              <w:wordWrap/>
              <w:overflowPunct/>
              <w:autoSpaceDE/>
              <w:autoSpaceDN/>
              <w:bidi w:val="0"/>
              <w:snapToGrid w:val="0"/>
              <w:spacing w:line="240" w:lineRule="auto"/>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SA"/>
              </w:rPr>
              <w:t>额定输出电压：交流220V 、50Hz、可控制电源：10路、每路动作延时时间：1秒、供电电源：VAC 50/60Hz 25A、每路输出带指示灯、锁匙开关控制电源、单路额定输出电源：20A。</w:t>
            </w:r>
          </w:p>
        </w:tc>
        <w:tc>
          <w:tcPr>
            <w:tcW w:w="911" w:type="dxa"/>
            <w:noWrap w:val="0"/>
            <w:vAlign w:val="center"/>
          </w:tcPr>
          <w:p w14:paraId="32FB8847">
            <w:pPr>
              <w:widowControl/>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台</w:t>
            </w:r>
          </w:p>
        </w:tc>
        <w:tc>
          <w:tcPr>
            <w:tcW w:w="767" w:type="dxa"/>
            <w:noWrap w:val="0"/>
            <w:vAlign w:val="center"/>
          </w:tcPr>
          <w:p w14:paraId="16623D72">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1222" w:type="dxa"/>
            <w:noWrap w:val="0"/>
            <w:vAlign w:val="center"/>
          </w:tcPr>
          <w:p w14:paraId="577DE6B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793" w:type="dxa"/>
            <w:noWrap w:val="0"/>
            <w:vAlign w:val="center"/>
          </w:tcPr>
          <w:p w14:paraId="42ABB90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1191" w:type="dxa"/>
            <w:noWrap w:val="0"/>
            <w:vAlign w:val="center"/>
          </w:tcPr>
          <w:p w14:paraId="352383CB">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2824" w:type="dxa"/>
            <w:vMerge w:val="continue"/>
            <w:noWrap w:val="0"/>
            <w:vAlign w:val="center"/>
          </w:tcPr>
          <w:p w14:paraId="0E861BAF">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22A4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66" w:type="dxa"/>
            <w:vMerge w:val="continue"/>
            <w:noWrap w:val="0"/>
            <w:vAlign w:val="center"/>
          </w:tcPr>
          <w:p w14:paraId="7BE9AC6F">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c>
          <w:tcPr>
            <w:tcW w:w="1121" w:type="dxa"/>
            <w:noWrap w:val="0"/>
            <w:vAlign w:val="center"/>
          </w:tcPr>
          <w:p w14:paraId="70CBD1AB">
            <w:pPr>
              <w:widowControl/>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一拖四无线会议话筒</w:t>
            </w:r>
          </w:p>
        </w:tc>
        <w:tc>
          <w:tcPr>
            <w:tcW w:w="3657" w:type="dxa"/>
            <w:noWrap w:val="0"/>
            <w:vAlign w:val="center"/>
          </w:tcPr>
          <w:p w14:paraId="49D0E764">
            <w:pPr>
              <w:keepNext w:val="0"/>
              <w:keepLines w:val="0"/>
              <w:pageBreakBefore w:val="0"/>
              <w:widowControl/>
              <w:kinsoku/>
              <w:wordWrap/>
              <w:overflowPunct/>
              <w:autoSpaceDE/>
              <w:autoSpaceDN/>
              <w:bidi w:val="0"/>
              <w:snapToGrid w:val="0"/>
              <w:spacing w:line="240" w:lineRule="auto"/>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SA"/>
              </w:rPr>
              <w:t>标准1.U机箱、频道组数：一拖4、载波频段：620-790MHz（其他频段可定制）、调制方式：宽频调制 、距离300米振荡模式：相位锁定频率合成器 、灵敏度：偏移度=25HKz，输出6dBuV时，S/N＞60dB 、偏移度：±45KHz 、频带宽度：24MHz 、综合S/N比：＞100dB 、综合T。H。D：＜0.5%＠1KHz 、综合频率响应：50Hz~18KH±3dB 、输出电压：（平衡式）-20Dbv/100Ω 、输出电压：（非平衡式）-4Dbv/5KΩ 、输出插座：XLR平衡式及6.3不平衡式插座 、温度犯围：-10℃至+55℃ 、AC电源供应：0.5-1A，12-15。</w:t>
            </w:r>
          </w:p>
        </w:tc>
        <w:tc>
          <w:tcPr>
            <w:tcW w:w="911" w:type="dxa"/>
            <w:noWrap w:val="0"/>
            <w:vAlign w:val="center"/>
          </w:tcPr>
          <w:p w14:paraId="0BC33A04">
            <w:pPr>
              <w:widowControl/>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台</w:t>
            </w:r>
          </w:p>
        </w:tc>
        <w:tc>
          <w:tcPr>
            <w:tcW w:w="767" w:type="dxa"/>
            <w:noWrap w:val="0"/>
            <w:vAlign w:val="center"/>
          </w:tcPr>
          <w:p w14:paraId="405F2831">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222" w:type="dxa"/>
            <w:noWrap w:val="0"/>
            <w:vAlign w:val="center"/>
          </w:tcPr>
          <w:p w14:paraId="0FF439A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793" w:type="dxa"/>
            <w:noWrap w:val="0"/>
            <w:vAlign w:val="center"/>
          </w:tcPr>
          <w:p w14:paraId="07B569B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1191" w:type="dxa"/>
            <w:noWrap w:val="0"/>
            <w:vAlign w:val="center"/>
          </w:tcPr>
          <w:p w14:paraId="7F09C899">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2824" w:type="dxa"/>
            <w:vMerge w:val="continue"/>
            <w:noWrap w:val="0"/>
            <w:vAlign w:val="center"/>
          </w:tcPr>
          <w:p w14:paraId="01C59595">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4B11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6" w:type="dxa"/>
            <w:vMerge w:val="continue"/>
            <w:noWrap w:val="0"/>
            <w:vAlign w:val="center"/>
          </w:tcPr>
          <w:p w14:paraId="76A435FD">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c>
          <w:tcPr>
            <w:tcW w:w="1121" w:type="dxa"/>
            <w:noWrap w:val="0"/>
            <w:vAlign w:val="center"/>
          </w:tcPr>
          <w:p w14:paraId="1B501805">
            <w:pPr>
              <w:widowControl/>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培训业务节点</w:t>
            </w:r>
          </w:p>
        </w:tc>
        <w:tc>
          <w:tcPr>
            <w:tcW w:w="3657" w:type="dxa"/>
            <w:noWrap w:val="0"/>
            <w:vAlign w:val="center"/>
          </w:tcPr>
          <w:p w14:paraId="3D9B7576">
            <w:pPr>
              <w:keepNext w:val="0"/>
              <w:keepLines w:val="0"/>
              <w:pageBreakBefore w:val="0"/>
              <w:widowControl/>
              <w:kinsoku/>
              <w:wordWrap/>
              <w:overflowPunct/>
              <w:autoSpaceDE/>
              <w:autoSpaceDN/>
              <w:bidi w:val="0"/>
              <w:snapToGrid w:val="0"/>
              <w:spacing w:line="240" w:lineRule="auto"/>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整机采用双频四流设计，最大接入速率 2.975Gbps。</w:t>
            </w:r>
          </w:p>
          <w:p w14:paraId="40AF8A40">
            <w:pPr>
              <w:keepNext w:val="0"/>
              <w:keepLines w:val="0"/>
              <w:pageBreakBefore w:val="0"/>
              <w:widowControl/>
              <w:kinsoku/>
              <w:wordWrap/>
              <w:overflowPunct/>
              <w:autoSpaceDE/>
              <w:autoSpaceDN/>
              <w:bidi w:val="0"/>
              <w:snapToGrid w:val="0"/>
              <w:spacing w:line="240" w:lineRule="auto"/>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5GHz 频段 2 空间流，最大协商速率 2.4Gbps。2.4GHz 频段 2 空间流，最大协商速率 0.575Gbps。兼容 WiFi6 技术</w:t>
            </w:r>
          </w:p>
          <w:p w14:paraId="36F0F335">
            <w:pPr>
              <w:keepNext w:val="0"/>
              <w:keepLines w:val="0"/>
              <w:pageBreakBefore w:val="0"/>
              <w:widowControl/>
              <w:kinsoku/>
              <w:wordWrap/>
              <w:overflowPunct/>
              <w:autoSpaceDE/>
              <w:autoSpaceDN/>
              <w:bidi w:val="0"/>
              <w:snapToGrid w:val="0"/>
              <w:spacing w:line="240" w:lineRule="auto"/>
              <w:ind w:firstLine="0" w:firstLineChars="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其中8个节点需满足3频8流，整机速率7.2Gbps配置，满足高密接入环境</w:t>
            </w:r>
            <w:r>
              <w:rPr>
                <w:rFonts w:hint="eastAsia" w:asciiTheme="minorEastAsia" w:hAnsiTheme="minorEastAsia" w:eastAsiaTheme="minorEastAsia" w:cstheme="minorEastAsia"/>
                <w:sz w:val="24"/>
                <w:szCs w:val="24"/>
                <w:highlight w:val="none"/>
                <w:lang w:eastAsia="zh-CN"/>
              </w:rPr>
              <w:t>。</w:t>
            </w:r>
          </w:p>
        </w:tc>
        <w:tc>
          <w:tcPr>
            <w:tcW w:w="911" w:type="dxa"/>
            <w:noWrap w:val="0"/>
            <w:vAlign w:val="center"/>
          </w:tcPr>
          <w:p w14:paraId="6ED3B1F0">
            <w:pPr>
              <w:widowControl/>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台</w:t>
            </w:r>
          </w:p>
        </w:tc>
        <w:tc>
          <w:tcPr>
            <w:tcW w:w="767" w:type="dxa"/>
            <w:noWrap w:val="0"/>
            <w:vAlign w:val="center"/>
          </w:tcPr>
          <w:p w14:paraId="206B2F67">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346</w:t>
            </w:r>
          </w:p>
        </w:tc>
        <w:tc>
          <w:tcPr>
            <w:tcW w:w="1222" w:type="dxa"/>
            <w:noWrap w:val="0"/>
            <w:vAlign w:val="center"/>
          </w:tcPr>
          <w:p w14:paraId="7F4372E0">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793" w:type="dxa"/>
            <w:noWrap w:val="0"/>
            <w:vAlign w:val="center"/>
          </w:tcPr>
          <w:p w14:paraId="1D8FB15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1191" w:type="dxa"/>
            <w:noWrap w:val="0"/>
            <w:vAlign w:val="center"/>
          </w:tcPr>
          <w:p w14:paraId="0540EC30">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2824" w:type="dxa"/>
            <w:vMerge w:val="continue"/>
            <w:noWrap w:val="0"/>
            <w:vAlign w:val="center"/>
          </w:tcPr>
          <w:p w14:paraId="12F44839">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0627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66" w:type="dxa"/>
            <w:vMerge w:val="continue"/>
            <w:noWrap w:val="0"/>
            <w:vAlign w:val="center"/>
          </w:tcPr>
          <w:p w14:paraId="770CB393">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c>
          <w:tcPr>
            <w:tcW w:w="1121" w:type="dxa"/>
            <w:noWrap w:val="0"/>
            <w:vAlign w:val="center"/>
          </w:tcPr>
          <w:p w14:paraId="69CF7B24">
            <w:pPr>
              <w:widowControl/>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培训业务传输平台</w:t>
            </w:r>
          </w:p>
        </w:tc>
        <w:tc>
          <w:tcPr>
            <w:tcW w:w="3657" w:type="dxa"/>
            <w:noWrap w:val="0"/>
            <w:vAlign w:val="center"/>
          </w:tcPr>
          <w:p w14:paraId="0D5A1672">
            <w:pPr>
              <w:keepNext w:val="0"/>
              <w:keepLines w:val="0"/>
              <w:pageBreakBefore w:val="0"/>
              <w:widowControl/>
              <w:kinsoku/>
              <w:wordWrap/>
              <w:overflowPunct/>
              <w:autoSpaceDE/>
              <w:autoSpaceDN/>
              <w:bidi w:val="0"/>
              <w:snapToGrid w:val="0"/>
              <w:spacing w:line="240" w:lineRule="auto"/>
              <w:ind w:firstLine="0" w:firstLineChars="0"/>
              <w:jc w:val="left"/>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技术标准（ax/ac/n）：11ac/ac/n</w:t>
            </w:r>
          </w:p>
          <w:p w14:paraId="620CDCBD">
            <w:pPr>
              <w:keepNext w:val="0"/>
              <w:keepLines w:val="0"/>
              <w:pageBreakBefore w:val="0"/>
              <w:widowControl/>
              <w:kinsoku/>
              <w:wordWrap/>
              <w:overflowPunct/>
              <w:autoSpaceDE/>
              <w:autoSpaceDN/>
              <w:bidi w:val="0"/>
              <w:snapToGrid w:val="0"/>
              <w:spacing w:line="240" w:lineRule="auto"/>
              <w:ind w:firstLine="0" w:firstLineChars="0"/>
              <w:jc w:val="left"/>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优势功能参数：为了满足设备的稳定性，要求所投产品支持双电源冗余供电支持AC内漫游，支持跨AC间漫游，支持跨VLAN的三层漫游</w:t>
            </w:r>
          </w:p>
          <w:p w14:paraId="121BA2C7">
            <w:pPr>
              <w:keepNext w:val="0"/>
              <w:keepLines w:val="0"/>
              <w:pageBreakBefore w:val="0"/>
              <w:widowControl/>
              <w:kinsoku/>
              <w:wordWrap/>
              <w:overflowPunct/>
              <w:autoSpaceDE/>
              <w:autoSpaceDN/>
              <w:bidi w:val="0"/>
              <w:snapToGrid w:val="0"/>
              <w:spacing w:line="240" w:lineRule="auto"/>
              <w:ind w:firstLine="0" w:firstLineChars="0"/>
              <w:jc w:val="left"/>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接口数量：LAN：8*GE +8*SFP +1*接口卡EWPXM1XG03（配置，8GE+2*SFP+）；管理AP数量：768；吞吐：20Gbps</w:t>
            </w:r>
          </w:p>
          <w:p w14:paraId="60592379">
            <w:pPr>
              <w:keepNext w:val="0"/>
              <w:keepLines w:val="0"/>
              <w:pageBreakBefore w:val="0"/>
              <w:widowControl/>
              <w:kinsoku/>
              <w:wordWrap/>
              <w:overflowPunct/>
              <w:autoSpaceDE/>
              <w:autoSpaceDN/>
              <w:bidi w:val="0"/>
              <w:snapToGrid w:val="0"/>
              <w:spacing w:line="240" w:lineRule="auto"/>
              <w:ind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SA"/>
              </w:rPr>
              <w:t>简要参数：要求所投产品支持常规AP最大数量≥768；要求所投产品集中转发性能≥20Gbps；本次配置768个AP授权及双电源。</w:t>
            </w:r>
          </w:p>
        </w:tc>
        <w:tc>
          <w:tcPr>
            <w:tcW w:w="911" w:type="dxa"/>
            <w:noWrap w:val="0"/>
            <w:vAlign w:val="center"/>
          </w:tcPr>
          <w:p w14:paraId="63D03C74">
            <w:pPr>
              <w:widowControl/>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台</w:t>
            </w:r>
          </w:p>
        </w:tc>
        <w:tc>
          <w:tcPr>
            <w:tcW w:w="767" w:type="dxa"/>
            <w:noWrap w:val="0"/>
            <w:vAlign w:val="center"/>
          </w:tcPr>
          <w:p w14:paraId="0E02D6BE">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222" w:type="dxa"/>
            <w:noWrap w:val="0"/>
            <w:vAlign w:val="center"/>
          </w:tcPr>
          <w:p w14:paraId="5FCE6F3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793" w:type="dxa"/>
            <w:noWrap w:val="0"/>
            <w:vAlign w:val="center"/>
          </w:tcPr>
          <w:p w14:paraId="0A3166C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1191" w:type="dxa"/>
            <w:noWrap w:val="0"/>
            <w:vAlign w:val="center"/>
          </w:tcPr>
          <w:p w14:paraId="6F7C12CF">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2824" w:type="dxa"/>
            <w:vMerge w:val="continue"/>
            <w:noWrap w:val="0"/>
            <w:vAlign w:val="center"/>
          </w:tcPr>
          <w:p w14:paraId="6540466F">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0478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66" w:type="dxa"/>
            <w:vMerge w:val="continue"/>
            <w:noWrap w:val="0"/>
            <w:vAlign w:val="center"/>
          </w:tcPr>
          <w:p w14:paraId="44966EFE">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c>
          <w:tcPr>
            <w:tcW w:w="1121" w:type="dxa"/>
            <w:noWrap w:val="0"/>
            <w:vAlign w:val="center"/>
          </w:tcPr>
          <w:p w14:paraId="0A43D3C8">
            <w:pPr>
              <w:widowControl/>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培训业务传输管理系统</w:t>
            </w:r>
          </w:p>
        </w:tc>
        <w:tc>
          <w:tcPr>
            <w:tcW w:w="3657" w:type="dxa"/>
            <w:noWrap w:val="0"/>
            <w:vAlign w:val="center"/>
          </w:tcPr>
          <w:p w14:paraId="0B47B0C5">
            <w:pPr>
              <w:keepNext w:val="0"/>
              <w:keepLines w:val="0"/>
              <w:pageBreakBefore w:val="0"/>
              <w:widowControl/>
              <w:kinsoku/>
              <w:wordWrap/>
              <w:overflowPunct/>
              <w:autoSpaceDE/>
              <w:autoSpaceDN/>
              <w:bidi w:val="0"/>
              <w:snapToGrid w:val="0"/>
              <w:spacing w:line="240" w:lineRule="auto"/>
              <w:ind w:firstLine="0" w:firstLineChars="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SA"/>
              </w:rPr>
              <w:t>CPU架构：采用X86架构CPU，支持多核处理。CPU核数≥8核。内存：内存容量≥32GB。存储：存储容量大于等于500GB，支持≥1个2.5寸硬盘槽位。网络接口：配备≥6个GE电口和≥2个GE Combo口。扩展槽位≥2个，方便未来扩展和升级。采用软硬一体化架构，支持虚拟化技术，方便资源的灵活调度和管理。支持有线网络设备管理数≥500个，无线设备管理数≥500个，认证授权点数≥2000个。支持多种操作系统和数据库，方便与现有IT基础设施的集成和兼容。适用于设备规模为200~15000台的中大型企业，支持分布式部署和集中管理。提供统一的管理界面和工具，方便对交换机、路由器、数据库服务器等设备进行集中管理和监控。支持自动化配置、故障排查、性能优化等智能化管理功能。</w:t>
            </w:r>
          </w:p>
        </w:tc>
        <w:tc>
          <w:tcPr>
            <w:tcW w:w="911" w:type="dxa"/>
            <w:noWrap w:val="0"/>
            <w:vAlign w:val="center"/>
          </w:tcPr>
          <w:p w14:paraId="5B7E063D">
            <w:pPr>
              <w:widowControl/>
              <w:ind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套</w:t>
            </w:r>
          </w:p>
        </w:tc>
        <w:tc>
          <w:tcPr>
            <w:tcW w:w="767" w:type="dxa"/>
            <w:noWrap w:val="0"/>
            <w:vAlign w:val="center"/>
          </w:tcPr>
          <w:p w14:paraId="7D10E1E5">
            <w:pPr>
              <w:keepNext w:val="0"/>
              <w:keepLines w:val="0"/>
              <w:pageBreakBefore w:val="0"/>
              <w:widowControl w:val="0"/>
              <w:kinsoku/>
              <w:wordWrap/>
              <w:overflowPunct/>
              <w:topLinePunct/>
              <w:autoSpaceDE/>
              <w:autoSpaceDN/>
              <w:bidi w:val="0"/>
              <w:adjustRightInd w:val="0"/>
              <w:snapToGrid w:val="0"/>
              <w:spacing w:before="50" w:after="50" w:line="240" w:lineRule="atLeast"/>
              <w:ind w:left="0" w:leftChars="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222" w:type="dxa"/>
            <w:noWrap w:val="0"/>
            <w:vAlign w:val="center"/>
          </w:tcPr>
          <w:p w14:paraId="49078C8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793" w:type="dxa"/>
            <w:noWrap w:val="0"/>
            <w:vAlign w:val="center"/>
          </w:tcPr>
          <w:p w14:paraId="15CA361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1191" w:type="dxa"/>
            <w:noWrap w:val="0"/>
            <w:vAlign w:val="center"/>
          </w:tcPr>
          <w:p w14:paraId="3DB4ED2C">
            <w:pPr>
              <w:widowControl/>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sz w:val="24"/>
                <w:szCs w:val="24"/>
                <w:highlight w:val="none"/>
              </w:rPr>
              <w:t>买方指定地点</w:t>
            </w:r>
          </w:p>
        </w:tc>
        <w:tc>
          <w:tcPr>
            <w:tcW w:w="2824" w:type="dxa"/>
            <w:vMerge w:val="continue"/>
            <w:noWrap w:val="0"/>
            <w:vAlign w:val="center"/>
          </w:tcPr>
          <w:p w14:paraId="6027E29D">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7964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66" w:type="dxa"/>
            <w:vMerge w:val="continue"/>
            <w:noWrap w:val="0"/>
            <w:vAlign w:val="center"/>
          </w:tcPr>
          <w:p w14:paraId="4B6AF03D">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p>
        </w:tc>
        <w:tc>
          <w:tcPr>
            <w:tcW w:w="1121" w:type="dxa"/>
            <w:noWrap w:val="0"/>
            <w:vAlign w:val="center"/>
          </w:tcPr>
          <w:p w14:paraId="590587CF">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双口网络地插</w:t>
            </w:r>
          </w:p>
        </w:tc>
        <w:tc>
          <w:tcPr>
            <w:tcW w:w="3657" w:type="dxa"/>
            <w:noWrap w:val="0"/>
            <w:vAlign w:val="center"/>
          </w:tcPr>
          <w:p w14:paraId="5604EF73">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弹起式地插二位电脑，开合便捷快速。材质：铜。电流电压：10A/250V。产品尺寸：</w:t>
            </w:r>
            <w:r>
              <w:rPr>
                <w:rFonts w:hint="eastAsia" w:asciiTheme="minorEastAsia" w:hAnsiTheme="minorEastAsia" w:eastAsiaTheme="minorEastAsia" w:cstheme="minorEastAsia"/>
                <w:color w:val="000000"/>
                <w:kern w:val="0"/>
                <w:sz w:val="24"/>
                <w:szCs w:val="24"/>
                <w:highlight w:val="none"/>
                <w:lang w:val="en-US" w:eastAsia="zh-CN" w:bidi="ar-SA"/>
              </w:rPr>
              <w:t>≥120mm*120mm*60mm。底盒尺寸：≥100mm*100mm*55mm。</w:t>
            </w:r>
          </w:p>
        </w:tc>
        <w:tc>
          <w:tcPr>
            <w:tcW w:w="911" w:type="dxa"/>
            <w:noWrap w:val="0"/>
            <w:vAlign w:val="center"/>
          </w:tcPr>
          <w:p w14:paraId="76712F9A">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只</w:t>
            </w:r>
          </w:p>
        </w:tc>
        <w:tc>
          <w:tcPr>
            <w:tcW w:w="767" w:type="dxa"/>
            <w:noWrap w:val="0"/>
            <w:vAlign w:val="center"/>
          </w:tcPr>
          <w:p w14:paraId="4ACC2103">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70</w:t>
            </w:r>
          </w:p>
        </w:tc>
        <w:tc>
          <w:tcPr>
            <w:tcW w:w="1222" w:type="dxa"/>
            <w:noWrap w:val="0"/>
            <w:vAlign w:val="center"/>
          </w:tcPr>
          <w:p w14:paraId="72399B2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793" w:type="dxa"/>
            <w:noWrap w:val="0"/>
            <w:vAlign w:val="center"/>
          </w:tcPr>
          <w:p w14:paraId="45309229">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1191" w:type="dxa"/>
            <w:noWrap w:val="0"/>
            <w:vAlign w:val="center"/>
          </w:tcPr>
          <w:p w14:paraId="792FEFF0">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2824" w:type="dxa"/>
            <w:vMerge w:val="continue"/>
            <w:noWrap w:val="0"/>
            <w:vAlign w:val="center"/>
          </w:tcPr>
          <w:p w14:paraId="6DA58775">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r w14:paraId="3855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766" w:type="dxa"/>
            <w:vMerge w:val="continue"/>
            <w:noWrap w:val="0"/>
            <w:vAlign w:val="center"/>
          </w:tcPr>
          <w:p w14:paraId="1F01A9F4">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p>
        </w:tc>
        <w:tc>
          <w:tcPr>
            <w:tcW w:w="1121" w:type="dxa"/>
            <w:noWrap w:val="0"/>
            <w:vAlign w:val="center"/>
          </w:tcPr>
          <w:p w14:paraId="72093B2A">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五孔地插</w:t>
            </w:r>
          </w:p>
        </w:tc>
        <w:tc>
          <w:tcPr>
            <w:tcW w:w="3657" w:type="dxa"/>
            <w:noWrap w:val="0"/>
            <w:vAlign w:val="center"/>
          </w:tcPr>
          <w:p w14:paraId="3296B45B">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弹起式五孔地插，开合便捷快速。材质：铜。电流电压：10A/250V。产品尺寸：</w:t>
            </w:r>
            <w:r>
              <w:rPr>
                <w:rFonts w:hint="eastAsia" w:asciiTheme="minorEastAsia" w:hAnsiTheme="minorEastAsia" w:eastAsiaTheme="minorEastAsia" w:cstheme="minorEastAsia"/>
                <w:color w:val="000000"/>
                <w:kern w:val="0"/>
                <w:sz w:val="24"/>
                <w:szCs w:val="24"/>
                <w:highlight w:val="none"/>
                <w:lang w:val="en-US" w:eastAsia="zh-CN" w:bidi="ar-SA"/>
              </w:rPr>
              <w:t>≥120mm*120mm*60mm。底盒尺寸：≥100mm*100mm*55mm。</w:t>
            </w:r>
          </w:p>
        </w:tc>
        <w:tc>
          <w:tcPr>
            <w:tcW w:w="911" w:type="dxa"/>
            <w:noWrap w:val="0"/>
            <w:vAlign w:val="center"/>
          </w:tcPr>
          <w:p w14:paraId="2F018874">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只</w:t>
            </w:r>
          </w:p>
        </w:tc>
        <w:tc>
          <w:tcPr>
            <w:tcW w:w="767" w:type="dxa"/>
            <w:noWrap w:val="0"/>
            <w:vAlign w:val="center"/>
          </w:tcPr>
          <w:p w14:paraId="75E5C27E">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70</w:t>
            </w:r>
          </w:p>
        </w:tc>
        <w:tc>
          <w:tcPr>
            <w:tcW w:w="1222" w:type="dxa"/>
            <w:noWrap w:val="0"/>
            <w:vAlign w:val="center"/>
          </w:tcPr>
          <w:p w14:paraId="0EB1CE7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接到供货通知后</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日内</w:t>
            </w:r>
          </w:p>
        </w:tc>
        <w:tc>
          <w:tcPr>
            <w:tcW w:w="1793" w:type="dxa"/>
            <w:noWrap w:val="0"/>
            <w:vAlign w:val="center"/>
          </w:tcPr>
          <w:p w14:paraId="7A566D3B">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center"/>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3年</w:t>
            </w:r>
          </w:p>
        </w:tc>
        <w:tc>
          <w:tcPr>
            <w:tcW w:w="1191" w:type="dxa"/>
            <w:noWrap w:val="0"/>
            <w:vAlign w:val="center"/>
          </w:tcPr>
          <w:p w14:paraId="55950C63">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买方指定地点</w:t>
            </w:r>
          </w:p>
        </w:tc>
        <w:tc>
          <w:tcPr>
            <w:tcW w:w="2824" w:type="dxa"/>
            <w:vMerge w:val="continue"/>
            <w:noWrap w:val="0"/>
            <w:vAlign w:val="center"/>
          </w:tcPr>
          <w:p w14:paraId="5ADC5A17">
            <w:pPr>
              <w:widowControl/>
              <w:ind w:left="0" w:leftChars="0" w:firstLine="0" w:firstLineChars="0"/>
              <w:jc w:val="center"/>
              <w:textAlignment w:val="center"/>
              <w:rPr>
                <w:rFonts w:hint="eastAsia" w:asciiTheme="minorEastAsia" w:hAnsiTheme="minorEastAsia" w:eastAsiaTheme="minorEastAsia" w:cstheme="minorEastAsia"/>
                <w:sz w:val="24"/>
                <w:szCs w:val="24"/>
                <w:highlight w:val="none"/>
              </w:rPr>
            </w:pPr>
          </w:p>
        </w:tc>
      </w:tr>
    </w:tbl>
    <w:p w14:paraId="465425EA">
      <w:pPr>
        <w:tabs>
          <w:tab w:val="left" w:pos="3627"/>
        </w:tabs>
        <w:ind w:firstLine="0" w:firstLine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742DA1A">
      <w:pPr>
        <w:pStyle w:val="16"/>
        <w:ind w:firstLine="0" w:firstLineChars="0"/>
        <w:outlineLvl w:val="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具体供货不局限于上述产品。应包括上述产品相关配件，类似升级产品。</w:t>
      </w:r>
    </w:p>
    <w:p w14:paraId="1BD481C7">
      <w:pPr>
        <w:pStyle w:val="16"/>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AB3682D">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CEE1127">
      <w:pPr>
        <w:shd w:val="clear"/>
        <w:spacing w:line="24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2.投标文件中提供的证明材料复印件应复印清晰、可辨认且不得遮盖、涂抹，否则视为无效。</w:t>
      </w:r>
    </w:p>
    <w:p w14:paraId="0F3E3DD7">
      <w:pPr>
        <w:shd w:val="clear"/>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0234E41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1A99">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6F811">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966F811">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627AF1B7">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627AF1B7">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2806F79"/>
    <w:rsid w:val="16267F4A"/>
    <w:rsid w:val="17252504"/>
    <w:rsid w:val="17832749"/>
    <w:rsid w:val="188E6C44"/>
    <w:rsid w:val="18E776A7"/>
    <w:rsid w:val="22BC120E"/>
    <w:rsid w:val="22F71DBE"/>
    <w:rsid w:val="26BD5819"/>
    <w:rsid w:val="28455ABC"/>
    <w:rsid w:val="2EBF6414"/>
    <w:rsid w:val="34C22B82"/>
    <w:rsid w:val="3A2F2590"/>
    <w:rsid w:val="42CE694E"/>
    <w:rsid w:val="46E40FDD"/>
    <w:rsid w:val="4AA15384"/>
    <w:rsid w:val="4ABD7A75"/>
    <w:rsid w:val="4D2E620D"/>
    <w:rsid w:val="4F403134"/>
    <w:rsid w:val="50E64EAF"/>
    <w:rsid w:val="50EC207F"/>
    <w:rsid w:val="511E0452"/>
    <w:rsid w:val="51340035"/>
    <w:rsid w:val="516A3318"/>
    <w:rsid w:val="528F6E05"/>
    <w:rsid w:val="5FA41BF6"/>
    <w:rsid w:val="637846F9"/>
    <w:rsid w:val="668F4233"/>
    <w:rsid w:val="699B2708"/>
    <w:rsid w:val="6B0F6C92"/>
    <w:rsid w:val="6B8F54C3"/>
    <w:rsid w:val="72A11576"/>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3">
    <w:name w:val="正文缩进1"/>
    <w:basedOn w:val="1"/>
    <w:qFormat/>
    <w:uiPriority w:val="0"/>
    <w:pPr>
      <w:spacing w:line="500" w:lineRule="exact"/>
      <w:ind w:firstLine="420"/>
    </w:pPr>
    <w:rPr>
      <w:sz w:val="28"/>
    </w:r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szCs w:val="24"/>
    </w:rPr>
  </w:style>
  <w:style w:type="paragraph" w:styleId="6">
    <w:name w:val="Body Text Indent"/>
    <w:basedOn w:val="1"/>
    <w:autoRedefine/>
    <w:qFormat/>
    <w:uiPriority w:val="0"/>
    <w:pPr>
      <w:spacing w:after="120"/>
      <w:ind w:left="420"/>
    </w:pPr>
    <w:rPr>
      <w:sz w:val="22"/>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styleId="1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7542</Words>
  <Characters>8716</Characters>
  <Lines>0</Lines>
  <Paragraphs>0</Paragraphs>
  <TotalTime>0</TotalTime>
  <ScaleCrop>false</ScaleCrop>
  <LinksUpToDate>false</LinksUpToDate>
  <CharactersWithSpaces>8790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贺朝.</cp:lastModifiedBy>
  <dcterms:modified xsi:type="dcterms:W3CDTF">2025-07-08T14:07:49Z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55A76703BAF643DE80E9A62C03B3CF14_13</vt:lpwstr>
  </property>
  <property fmtid="{D5CDD505-2E9C-101B-9397-08002B2CF9AE}" pid="4" name="KSOTemplateDocerSaveRecord">
    <vt:lpwstr>eyJoZGlkIjoiMjgzMmI5ZmUwMzE0MGI5MWNlMTg5OTkzMTBlM2E5NWUiLCJ1c2VySWQiOiI3MzAwNjQ3NTMifQ==</vt:lpwstr>
  </property>
</Properties>
</file>