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F34CC">
      <w:pPr>
        <w:widowControl/>
        <w:shd w:val="clear"/>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附件1   招标需求一览表</w:t>
      </w:r>
    </w:p>
    <w:tbl>
      <w:tblPr>
        <w:tblStyle w:val="10"/>
        <w:tblW w:w="511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0"/>
        <w:gridCol w:w="1074"/>
        <w:gridCol w:w="4754"/>
        <w:gridCol w:w="868"/>
        <w:gridCol w:w="848"/>
        <w:gridCol w:w="1126"/>
        <w:gridCol w:w="1477"/>
        <w:gridCol w:w="1384"/>
        <w:gridCol w:w="2032"/>
      </w:tblGrid>
      <w:tr w14:paraId="35553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jc w:val="center"/>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CB2C1">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项目名称</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D6014">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物资名称</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351AC">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主要技术要求</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23959">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单位</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8A2C8">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数量</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7EE35">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交货日期</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8CC32">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质保期（不低于）</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10144">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交货地点</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B2A44">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专用业绩要求</w:t>
            </w:r>
          </w:p>
        </w:tc>
      </w:tr>
      <w:tr w14:paraId="61B91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C03B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人机交互单元、数据分流转发单元等采购项目</w:t>
            </w:r>
          </w:p>
        </w:tc>
        <w:tc>
          <w:tcPr>
            <w:tcW w:w="370" w:type="pct"/>
            <w:tcBorders>
              <w:top w:val="single" w:color="000000" w:sz="4" w:space="0"/>
              <w:left w:val="nil"/>
              <w:bottom w:val="single" w:color="000000" w:sz="4" w:space="0"/>
              <w:right w:val="single" w:color="000000" w:sz="4" w:space="0"/>
            </w:tcBorders>
            <w:shd w:val="clear" w:color="auto" w:fill="auto"/>
            <w:vAlign w:val="center"/>
          </w:tcPr>
          <w:p w14:paraId="606FD74A">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出入口智能抓拍设像机</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7296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传感器  1/3″ CMOS</w:t>
            </w:r>
          </w:p>
          <w:p w14:paraId="3DF88C9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最大分辨率：≥2560*1440</w:t>
            </w:r>
          </w:p>
          <w:p w14:paraId="4AB8CC8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最低照度：彩色：0.005 lux</w:t>
            </w:r>
          </w:p>
          <w:p w14:paraId="3E9DED5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快门： 1/3s~1/100000s</w:t>
            </w:r>
          </w:p>
          <w:p w14:paraId="6F9A4DF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宽动态 ：120dB</w:t>
            </w:r>
          </w:p>
          <w:p w14:paraId="6C85FEAF">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光圈：F1.0</w:t>
            </w:r>
          </w:p>
          <w:p w14:paraId="2E4ED63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补光类型 ：智能补光</w:t>
            </w:r>
          </w:p>
          <w:p w14:paraId="7C5EDF2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bookmarkStart w:id="0" w:name="_GoBack"/>
            <w:bookmarkEnd w:id="0"/>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补光距离：≥30m</w:t>
            </w:r>
          </w:p>
          <w:p w14:paraId="259D3B5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音频采样：内置麦克风 8kHz/16KHz</w:t>
            </w:r>
          </w:p>
          <w:p w14:paraId="5546DBC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音频输出：内置扬声器、支持双向语音对讲</w:t>
            </w:r>
          </w:p>
          <w:p w14:paraId="48EC5A9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防水等级：≥IP66</w:t>
            </w:r>
          </w:p>
          <w:p w14:paraId="45680A27">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采用深度学习算法，以海量图片及视频资源为路基，通过机器自身提取目标特征，形成深层可供学习的图像。极大的提升了算法的检出率</w:t>
            </w:r>
          </w:p>
          <w:p w14:paraId="4E7092F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支持智能资源模式切换：人脸抓拍、道路监控、Smart事件、人数统计、热度图</w:t>
            </w:r>
          </w:p>
          <w:p w14:paraId="2BE5A44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人脸抓拍模式：支持对运动人脸进行检测、抓拍，最多同时检测30张，支持快速抓拍模式和优选抓拍模式</w:t>
            </w:r>
          </w:p>
          <w:p w14:paraId="475B223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道路监控模式：a)车辆检测：支持车牌识别并抓拍，车牌号码/车身颜色/车辆类型/车辆品牌，b)混行检测：检测正向或逆向行驶的车辆以及行人和非机动车，自动对车辆牌照进行识别，可以抓拍无车牌的车辆图片</w:t>
            </w:r>
          </w:p>
          <w:p w14:paraId="70C024B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鳞镜补光：采用隐藏式灯珠设计，通过鳞甲密布排列形成的镜面反射出光，见光不见灯。增加发光面积，降低聚光效果，补光柔和均匀</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88DC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b w:val="0"/>
                <w:bCs w:val="0"/>
                <w:color w:val="auto"/>
                <w:sz w:val="24"/>
                <w:szCs w:val="24"/>
                <w:highlight w:val="none"/>
                <w:lang w:val="en-US" w:eastAsia="zh-CN"/>
              </w:rPr>
              <w:t>台</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04AE">
            <w:pPr>
              <w:keepNext w:val="0"/>
              <w:keepLines w:val="0"/>
              <w:widowControl/>
              <w:suppressLineNumbers w:val="0"/>
              <w:shd w:val="clear"/>
              <w:jc w:val="center"/>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09ECA">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接供货通知10日内</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0798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24个月</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8AD93">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买方指定地点</w:t>
            </w:r>
          </w:p>
        </w:tc>
        <w:tc>
          <w:tcPr>
            <w:tcW w:w="700" w:type="pct"/>
            <w:vMerge w:val="restart"/>
            <w:tcBorders>
              <w:top w:val="single" w:color="000000" w:sz="4" w:space="0"/>
              <w:left w:val="single" w:color="000000" w:sz="4" w:space="0"/>
              <w:right w:val="single" w:color="000000" w:sz="4" w:space="0"/>
            </w:tcBorders>
            <w:shd w:val="clear" w:color="auto" w:fill="auto"/>
            <w:vAlign w:val="center"/>
          </w:tcPr>
          <w:p w14:paraId="0319B61F">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业绩要求：</w:t>
            </w:r>
            <w:r>
              <w:rPr>
                <w:rFonts w:hint="eastAsia" w:asciiTheme="minorEastAsia" w:hAnsiTheme="minorEastAsia" w:eastAsiaTheme="minorEastAsia" w:cstheme="minorEastAsia"/>
                <w:color w:val="auto"/>
                <w:kern w:val="0"/>
                <w:sz w:val="24"/>
                <w:szCs w:val="24"/>
                <w:highlight w:val="none"/>
                <w:lang w:val="en-US" w:eastAsia="zh-CN" w:bidi="ar"/>
              </w:rPr>
              <w:t>2022年1月1日至投标截止日止，完成过辅控系统或智巡系统或组部件（包含摄像机或服务器或交换机）相类似业绩不少于1份，累计金额不少于50万。注:业绩必须提供对应的合同复印件、发票和相应查验截图。</w:t>
            </w:r>
          </w:p>
        </w:tc>
      </w:tr>
      <w:tr w14:paraId="560DB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82226">
            <w:pPr>
              <w:shd w:val="clear"/>
              <w:jc w:val="center"/>
              <w:rPr>
                <w:rFonts w:hint="eastAsia" w:asciiTheme="minorEastAsia" w:hAnsiTheme="minorEastAsia" w:eastAsiaTheme="minorEastAsia" w:cstheme="minorEastAsia"/>
                <w:i w:val="0"/>
                <w:iCs w:val="0"/>
                <w:color w:val="auto"/>
                <w:sz w:val="24"/>
                <w:szCs w:val="24"/>
                <w:highlight w:val="none"/>
                <w:u w:val="none"/>
              </w:rPr>
            </w:pPr>
          </w:p>
        </w:tc>
        <w:tc>
          <w:tcPr>
            <w:tcW w:w="370" w:type="pct"/>
            <w:tcBorders>
              <w:top w:val="single" w:color="000000" w:sz="4" w:space="0"/>
              <w:left w:val="nil"/>
              <w:bottom w:val="single" w:color="000000" w:sz="4" w:space="0"/>
              <w:right w:val="single" w:color="000000" w:sz="4" w:space="0"/>
            </w:tcBorders>
            <w:shd w:val="clear" w:color="auto" w:fill="auto"/>
            <w:vAlign w:val="center"/>
          </w:tcPr>
          <w:p w14:paraId="268720AF">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边缘分析封装数据交互单元</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55ED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CPU：不低于1.8GHz主频，不低于16核</w:t>
            </w:r>
          </w:p>
          <w:p w14:paraId="5B9C0887">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内存：不低于64G</w:t>
            </w:r>
          </w:p>
          <w:p w14:paraId="2F407F9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硬盘：≥8T</w:t>
            </w:r>
          </w:p>
          <w:p w14:paraId="3D00619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网卡：2*1GE PCIE标准网卡</w:t>
            </w:r>
          </w:p>
          <w:p w14:paraId="7AA1313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电源 ：800W热插拔冗余电源</w:t>
            </w:r>
          </w:p>
          <w:p w14:paraId="12FCCC4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4U机架式24盘位嵌入式边缘计算主机，采用存算一体架构，内置高性能AI处理器，搭载1+1冗余电源，1+1冗余风扇</w:t>
            </w:r>
          </w:p>
          <w:p w14:paraId="493272C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整机搭载16颗高性能AI引擎，支持独立配置目标识别、周界防范、视频结构化、高空抛物、音频关键字等引擎模式</w:t>
            </w:r>
          </w:p>
          <w:p w14:paraId="3B8788D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支持目标抓拍、比对报警；支持以图搜图、按姓名检索、按属性检索</w:t>
            </w:r>
          </w:p>
          <w:p w14:paraId="177E908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目标名单库：支持64个名单库，名单库库容50万张；路人库库容30万张</w:t>
            </w:r>
          </w:p>
          <w:p w14:paraId="0F45D66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目标抓拍：128路视频流（2MP）</w:t>
            </w:r>
          </w:p>
          <w:p w14:paraId="1EA737E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目标比对：192路图片流</w:t>
            </w:r>
          </w:p>
          <w:p w14:paraId="0FFC3B8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输入带宽：768Mbps</w:t>
            </w:r>
          </w:p>
          <w:p w14:paraId="7D453A1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输出带宽：256Mbps</w:t>
            </w:r>
          </w:p>
          <w:p w14:paraId="3C0CBE7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接入能力：256路H.264、H.265格式高清码流接入</w:t>
            </w:r>
          </w:p>
          <w:p w14:paraId="4EE38B3F">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解码能力：最大支持20×1080P</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3C91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color w:val="auto"/>
                <w:sz w:val="24"/>
                <w:szCs w:val="24"/>
                <w:highlight w:val="none"/>
                <w:lang w:val="en-US" w:eastAsia="zh-CN"/>
              </w:rPr>
              <w:t>台</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FF6C">
            <w:pPr>
              <w:keepNext w:val="0"/>
              <w:keepLines w:val="0"/>
              <w:widowControl/>
              <w:suppressLineNumbers w:val="0"/>
              <w:shd w:val="clear"/>
              <w:jc w:val="center"/>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190F8">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接供货通知10日内</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89CB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24个月</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A8CA1">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买方指定地点</w:t>
            </w:r>
          </w:p>
        </w:tc>
        <w:tc>
          <w:tcPr>
            <w:tcW w:w="700" w:type="pct"/>
            <w:vMerge w:val="continue"/>
            <w:tcBorders>
              <w:left w:val="single" w:color="000000" w:sz="4" w:space="0"/>
              <w:right w:val="single" w:color="000000" w:sz="4" w:space="0"/>
            </w:tcBorders>
            <w:shd w:val="clear" w:color="auto" w:fill="auto"/>
            <w:vAlign w:val="center"/>
          </w:tcPr>
          <w:p w14:paraId="4D8C1295">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61F96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jc w:val="center"/>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AFEAE">
            <w:pPr>
              <w:shd w:val="clear"/>
              <w:jc w:val="center"/>
              <w:rPr>
                <w:rFonts w:hint="eastAsia" w:asciiTheme="minorEastAsia" w:hAnsiTheme="minorEastAsia" w:eastAsiaTheme="minorEastAsia" w:cstheme="minorEastAsia"/>
                <w:i w:val="0"/>
                <w:iCs w:val="0"/>
                <w:color w:val="auto"/>
                <w:sz w:val="24"/>
                <w:szCs w:val="24"/>
                <w:highlight w:val="none"/>
                <w:u w:val="none"/>
              </w:rPr>
            </w:pPr>
          </w:p>
        </w:tc>
        <w:tc>
          <w:tcPr>
            <w:tcW w:w="370" w:type="pct"/>
            <w:tcBorders>
              <w:top w:val="single" w:color="000000" w:sz="4" w:space="0"/>
              <w:left w:val="nil"/>
              <w:bottom w:val="single" w:color="000000" w:sz="4" w:space="0"/>
              <w:right w:val="single" w:color="000000" w:sz="4" w:space="0"/>
            </w:tcBorders>
            <w:shd w:val="clear" w:color="auto" w:fill="auto"/>
            <w:vAlign w:val="center"/>
          </w:tcPr>
          <w:p w14:paraId="5520460A">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配套人机交互单元</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E8E7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CPU：主频≥3.2GHz，核心数≥8，线程数≥16； </w:t>
            </w:r>
          </w:p>
          <w:p w14:paraId="350982F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内存：≥16GB； </w:t>
            </w:r>
          </w:p>
          <w:p w14:paraId="1DDE01E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硬盘：≥512GB NVMe SSD + 2TB SATA HDD； </w:t>
            </w:r>
          </w:p>
          <w:p w14:paraId="79A6C15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显示器：27英寸； </w:t>
            </w:r>
          </w:p>
          <w:p w14:paraId="6F7F0C9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显卡：显存大于8G； </w:t>
            </w:r>
          </w:p>
          <w:p w14:paraId="0402F47A">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操作系统：Windows 10 IoT版（含授权）</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FEFC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color w:val="auto"/>
                <w:sz w:val="24"/>
                <w:szCs w:val="24"/>
                <w:highlight w:val="none"/>
                <w:lang w:val="en-US" w:eastAsia="zh-CN"/>
              </w:rPr>
              <w:t>台</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21C3">
            <w:pPr>
              <w:keepNext w:val="0"/>
              <w:keepLines w:val="0"/>
              <w:widowControl/>
              <w:suppressLineNumbers w:val="0"/>
              <w:shd w:val="clear"/>
              <w:jc w:val="center"/>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63261">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接供货通知10日内</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F8A7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24个月</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538DF">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买方指定地点</w:t>
            </w:r>
          </w:p>
        </w:tc>
        <w:tc>
          <w:tcPr>
            <w:tcW w:w="700" w:type="pct"/>
            <w:vMerge w:val="continue"/>
            <w:tcBorders>
              <w:left w:val="single" w:color="000000" w:sz="4" w:space="0"/>
              <w:right w:val="single" w:color="000000" w:sz="4" w:space="0"/>
            </w:tcBorders>
            <w:shd w:val="clear" w:color="auto" w:fill="auto"/>
            <w:vAlign w:val="center"/>
          </w:tcPr>
          <w:p w14:paraId="60E89331">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186D7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jc w:val="center"/>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17361">
            <w:pPr>
              <w:shd w:val="clear"/>
              <w:jc w:val="center"/>
              <w:rPr>
                <w:rFonts w:hint="eastAsia" w:asciiTheme="minorEastAsia" w:hAnsiTheme="minorEastAsia" w:eastAsiaTheme="minorEastAsia" w:cstheme="minorEastAsia"/>
                <w:i w:val="0"/>
                <w:iCs w:val="0"/>
                <w:color w:val="auto"/>
                <w:sz w:val="24"/>
                <w:szCs w:val="24"/>
                <w:highlight w:val="none"/>
                <w:u w:val="none"/>
              </w:rPr>
            </w:pPr>
          </w:p>
        </w:tc>
        <w:tc>
          <w:tcPr>
            <w:tcW w:w="370" w:type="pct"/>
            <w:tcBorders>
              <w:top w:val="single" w:color="000000" w:sz="4" w:space="0"/>
              <w:left w:val="nil"/>
              <w:bottom w:val="single" w:color="000000" w:sz="4" w:space="0"/>
              <w:right w:val="single" w:color="000000" w:sz="4" w:space="0"/>
            </w:tcBorders>
            <w:shd w:val="clear" w:color="auto" w:fill="auto"/>
            <w:vAlign w:val="center"/>
          </w:tcPr>
          <w:p w14:paraId="52AFEFD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接入数据分流转发单元（Ⅰ型）</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4D84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提供不少于8个千兆电口、2个千兆光口</w:t>
            </w:r>
          </w:p>
          <w:p w14:paraId="241D615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交换容量：≥20 Gbps</w:t>
            </w:r>
          </w:p>
          <w:p w14:paraId="7DC86CA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包转发率：≥14.88 Mpps</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0E2C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b w:val="0"/>
                <w:bCs w:val="0"/>
                <w:color w:val="auto"/>
                <w:sz w:val="24"/>
                <w:szCs w:val="24"/>
                <w:highlight w:val="none"/>
                <w:lang w:val="en-US" w:eastAsia="zh-CN"/>
              </w:rPr>
              <w:t>台</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0013">
            <w:pPr>
              <w:keepNext w:val="0"/>
              <w:keepLines w:val="0"/>
              <w:widowControl/>
              <w:suppressLineNumbers w:val="0"/>
              <w:shd w:val="clear"/>
              <w:jc w:val="center"/>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C0D04">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接供货通知10日内</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6214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24个月</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94A2D">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买方指定地点</w:t>
            </w:r>
          </w:p>
        </w:tc>
        <w:tc>
          <w:tcPr>
            <w:tcW w:w="700" w:type="pct"/>
            <w:vMerge w:val="continue"/>
            <w:tcBorders>
              <w:left w:val="single" w:color="000000" w:sz="4" w:space="0"/>
              <w:right w:val="single" w:color="000000" w:sz="4" w:space="0"/>
            </w:tcBorders>
            <w:shd w:val="clear" w:color="auto" w:fill="auto"/>
            <w:vAlign w:val="center"/>
          </w:tcPr>
          <w:p w14:paraId="69557CA9">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63222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54978">
            <w:pPr>
              <w:shd w:val="clear"/>
              <w:jc w:val="center"/>
              <w:rPr>
                <w:rFonts w:hint="eastAsia" w:asciiTheme="minorEastAsia" w:hAnsiTheme="minorEastAsia" w:eastAsiaTheme="minorEastAsia" w:cstheme="minorEastAsia"/>
                <w:i w:val="0"/>
                <w:iCs w:val="0"/>
                <w:color w:val="auto"/>
                <w:sz w:val="24"/>
                <w:szCs w:val="24"/>
                <w:highlight w:val="none"/>
                <w:u w:val="none"/>
              </w:rPr>
            </w:pPr>
          </w:p>
        </w:tc>
        <w:tc>
          <w:tcPr>
            <w:tcW w:w="370" w:type="pct"/>
            <w:tcBorders>
              <w:top w:val="single" w:color="000000" w:sz="4" w:space="0"/>
              <w:left w:val="nil"/>
              <w:bottom w:val="single" w:color="000000" w:sz="4" w:space="0"/>
              <w:right w:val="single" w:color="000000" w:sz="4" w:space="0"/>
            </w:tcBorders>
            <w:shd w:val="clear" w:color="auto" w:fill="auto"/>
            <w:vAlign w:val="center"/>
          </w:tcPr>
          <w:p w14:paraId="5EB4731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接入数据分流转发单元（Ⅱ型）</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D120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提供不少于24个千兆电口和2个千兆光口 </w:t>
            </w:r>
          </w:p>
          <w:p w14:paraId="6A9263B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交换容量：≥56 Gbps</w:t>
            </w:r>
          </w:p>
          <w:p w14:paraId="21033AA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包转发率：≥41.67 Mpps</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4D00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b w:val="0"/>
                <w:bCs w:val="0"/>
                <w:color w:val="auto"/>
                <w:sz w:val="24"/>
                <w:szCs w:val="24"/>
                <w:highlight w:val="none"/>
                <w:lang w:val="en-US" w:eastAsia="zh-CN"/>
              </w:rPr>
              <w:t>台</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9F52">
            <w:pPr>
              <w:keepNext w:val="0"/>
              <w:keepLines w:val="0"/>
              <w:widowControl/>
              <w:suppressLineNumbers w:val="0"/>
              <w:shd w:val="clear"/>
              <w:jc w:val="center"/>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A6B01">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接供货通知10日内</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7754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24个月</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81FF5">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买方指定地点</w:t>
            </w:r>
          </w:p>
        </w:tc>
        <w:tc>
          <w:tcPr>
            <w:tcW w:w="700" w:type="pct"/>
            <w:vMerge w:val="continue"/>
            <w:tcBorders>
              <w:left w:val="single" w:color="000000" w:sz="4" w:space="0"/>
              <w:right w:val="single" w:color="000000" w:sz="4" w:space="0"/>
            </w:tcBorders>
            <w:shd w:val="clear" w:color="auto" w:fill="auto"/>
            <w:vAlign w:val="center"/>
          </w:tcPr>
          <w:p w14:paraId="78334BDF">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636F9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jc w:val="center"/>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CC101">
            <w:pPr>
              <w:shd w:val="clear"/>
              <w:jc w:val="center"/>
              <w:rPr>
                <w:rFonts w:hint="eastAsia" w:asciiTheme="minorEastAsia" w:hAnsiTheme="minorEastAsia" w:eastAsiaTheme="minorEastAsia" w:cstheme="minorEastAsia"/>
                <w:i w:val="0"/>
                <w:iCs w:val="0"/>
                <w:color w:val="auto"/>
                <w:sz w:val="24"/>
                <w:szCs w:val="24"/>
                <w:highlight w:val="none"/>
                <w:u w:val="none"/>
              </w:rPr>
            </w:pPr>
          </w:p>
        </w:tc>
        <w:tc>
          <w:tcPr>
            <w:tcW w:w="370" w:type="pct"/>
            <w:tcBorders>
              <w:top w:val="single" w:color="000000" w:sz="4" w:space="0"/>
              <w:left w:val="nil"/>
              <w:bottom w:val="single" w:color="000000" w:sz="4" w:space="0"/>
              <w:right w:val="single" w:color="000000" w:sz="4" w:space="0"/>
            </w:tcBorders>
            <w:shd w:val="clear" w:color="auto" w:fill="auto"/>
            <w:vAlign w:val="center"/>
          </w:tcPr>
          <w:p w14:paraId="09AB1FF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核心数据分流转发单元</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5282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全网管三层交换机，机架式，不少于24个千兆光口，8个复用的千兆电口，4个万兆SFP+光口；1个业务扩展槽，2个电源模块槽位，2个风扇模块槽位，交换容量：≥756Gbps/7.56Tbps，包转发率：≥222Mpps/396Mpps</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09B3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b w:val="0"/>
                <w:bCs w:val="0"/>
                <w:color w:val="auto"/>
                <w:sz w:val="24"/>
                <w:szCs w:val="24"/>
                <w:highlight w:val="none"/>
                <w:lang w:val="en-US" w:eastAsia="zh-CN"/>
              </w:rPr>
              <w:t>台</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4668">
            <w:pPr>
              <w:keepNext w:val="0"/>
              <w:keepLines w:val="0"/>
              <w:widowControl/>
              <w:suppressLineNumbers w:val="0"/>
              <w:shd w:val="clear"/>
              <w:jc w:val="center"/>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C111D">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接供货通知10日内</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3A21F">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24个月</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9B67E">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买方指定地点</w:t>
            </w:r>
          </w:p>
        </w:tc>
        <w:tc>
          <w:tcPr>
            <w:tcW w:w="700" w:type="pct"/>
            <w:vMerge w:val="continue"/>
            <w:tcBorders>
              <w:left w:val="single" w:color="000000" w:sz="4" w:space="0"/>
              <w:right w:val="single" w:color="000000" w:sz="4" w:space="0"/>
            </w:tcBorders>
            <w:shd w:val="clear" w:color="auto" w:fill="auto"/>
            <w:vAlign w:val="center"/>
          </w:tcPr>
          <w:p w14:paraId="66209E41">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31555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jc w:val="center"/>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1752F">
            <w:pPr>
              <w:shd w:val="clear"/>
              <w:jc w:val="center"/>
              <w:rPr>
                <w:rFonts w:hint="eastAsia" w:asciiTheme="minorEastAsia" w:hAnsiTheme="minorEastAsia" w:eastAsiaTheme="minorEastAsia" w:cstheme="minorEastAsia"/>
                <w:i w:val="0"/>
                <w:iCs w:val="0"/>
                <w:color w:val="auto"/>
                <w:sz w:val="24"/>
                <w:szCs w:val="24"/>
                <w:highlight w:val="none"/>
                <w:u w:val="none"/>
              </w:rPr>
            </w:pPr>
          </w:p>
        </w:tc>
        <w:tc>
          <w:tcPr>
            <w:tcW w:w="370" w:type="pct"/>
            <w:tcBorders>
              <w:top w:val="single" w:color="000000" w:sz="4" w:space="0"/>
              <w:left w:val="nil"/>
              <w:bottom w:val="single" w:color="000000" w:sz="4" w:space="0"/>
              <w:right w:val="single" w:color="000000" w:sz="4" w:space="0"/>
            </w:tcBorders>
            <w:shd w:val="clear" w:color="auto" w:fill="auto"/>
            <w:vAlign w:val="center"/>
          </w:tcPr>
          <w:p w14:paraId="02795B0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通信收发模组</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4DDF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千兆20公里单模双纤模块</w:t>
            </w:r>
          </w:p>
          <w:p w14:paraId="4CFBA28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不分收发</w:t>
            </w:r>
          </w:p>
          <w:p w14:paraId="1AF579A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TX1310nm/1.25G</w:t>
            </w:r>
          </w:p>
          <w:p w14:paraId="61136A8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RX1310nm/1.25G</w:t>
            </w:r>
          </w:p>
          <w:p w14:paraId="0BE408C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LC</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04997">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b w:val="0"/>
                <w:bCs w:val="0"/>
                <w:color w:val="auto"/>
                <w:sz w:val="24"/>
                <w:szCs w:val="24"/>
                <w:highlight w:val="none"/>
                <w:lang w:val="en-US" w:eastAsia="zh-CN"/>
              </w:rPr>
              <w:t>个</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123F">
            <w:pPr>
              <w:keepNext w:val="0"/>
              <w:keepLines w:val="0"/>
              <w:widowControl/>
              <w:suppressLineNumbers w:val="0"/>
              <w:shd w:val="clear"/>
              <w:jc w:val="center"/>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218</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A10A3">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接供货通知10日内</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7663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24个月</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1FCF3">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买方指定地点</w:t>
            </w:r>
          </w:p>
        </w:tc>
        <w:tc>
          <w:tcPr>
            <w:tcW w:w="700" w:type="pct"/>
            <w:vMerge w:val="continue"/>
            <w:tcBorders>
              <w:left w:val="single" w:color="000000" w:sz="4" w:space="0"/>
              <w:bottom w:val="single" w:color="000000" w:sz="4" w:space="0"/>
              <w:right w:val="single" w:color="000000" w:sz="4" w:space="0"/>
            </w:tcBorders>
            <w:shd w:val="clear" w:color="auto" w:fill="auto"/>
            <w:vAlign w:val="center"/>
          </w:tcPr>
          <w:p w14:paraId="2979376C">
            <w:pPr>
              <w:keepNext w:val="0"/>
              <w:keepLines w:val="0"/>
              <w:widowControl/>
              <w:suppressLineNumbers w:val="0"/>
              <w:shd w:val="clear"/>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bl>
    <w:p w14:paraId="63BD38A6">
      <w:pPr>
        <w:pStyle w:val="16"/>
        <w:numPr>
          <w:ilvl w:val="0"/>
          <w:numId w:val="0"/>
        </w:numPr>
        <w:shd w:val="clear"/>
        <w:spacing w:line="240" w:lineRule="auto"/>
        <w:outlineLvl w:val="0"/>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具体供货不局限于上述产品。应包括上述产品相关配件，类似升级产品。</w:t>
      </w:r>
    </w:p>
    <w:p w14:paraId="0E9FF78B">
      <w:pPr>
        <w:pStyle w:val="14"/>
        <w:shd w:val="clea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p w14:paraId="73B8B227">
      <w:pPr>
        <w:pStyle w:val="14"/>
        <w:shd w:val="clea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1.取得《国家电网有限公司集中规模招标采购供应商资质能力核实证明》</w:t>
      </w:r>
      <w:r>
        <w:rPr>
          <w:rFonts w:hint="eastAsia" w:asciiTheme="minorEastAsia" w:hAnsiTheme="minorEastAsia" w:eastAsiaTheme="minorEastAsia" w:cstheme="minorEastAsia"/>
          <w:color w:val="auto"/>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color w:val="auto"/>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506A9053">
      <w:pPr>
        <w:shd w:val="clea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2.投标文件中提供的证明材料复印件应复印清晰、可辨认且不得遮盖、涂抹，否则视为无效。</w:t>
      </w:r>
    </w:p>
    <w:p w14:paraId="3F731FB8">
      <w:pPr>
        <w:keepNext w:val="0"/>
        <w:keepLines w:val="0"/>
        <w:pageBreakBefore w:val="0"/>
        <w:shd w:val="clear"/>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3.合同金额以所提供的发票及查验截图为准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036E5404">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0949E">
    <w:pPr>
      <w:pStyle w:val="7"/>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DC0EAA">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FDC0EAA">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2D35CE77">
                          <w:pPr>
                            <w:pStyle w:val="7"/>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2D35CE77">
                    <w:pPr>
                      <w:pStyle w:val="7"/>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C9566ED"/>
    <w:rsid w:val="10C017AC"/>
    <w:rsid w:val="11EF4173"/>
    <w:rsid w:val="14FD3926"/>
    <w:rsid w:val="16267F4A"/>
    <w:rsid w:val="17252504"/>
    <w:rsid w:val="17832749"/>
    <w:rsid w:val="188E6C44"/>
    <w:rsid w:val="18E776A7"/>
    <w:rsid w:val="22BC120E"/>
    <w:rsid w:val="22F71DBE"/>
    <w:rsid w:val="26BD5819"/>
    <w:rsid w:val="28455ABC"/>
    <w:rsid w:val="2EBF6414"/>
    <w:rsid w:val="3A2F2590"/>
    <w:rsid w:val="3CED70CC"/>
    <w:rsid w:val="42CE694E"/>
    <w:rsid w:val="4AA15384"/>
    <w:rsid w:val="4ABD7A75"/>
    <w:rsid w:val="4D2E620D"/>
    <w:rsid w:val="4F403134"/>
    <w:rsid w:val="50E64EAF"/>
    <w:rsid w:val="50EC207F"/>
    <w:rsid w:val="511E0452"/>
    <w:rsid w:val="51340035"/>
    <w:rsid w:val="516A3318"/>
    <w:rsid w:val="602E5665"/>
    <w:rsid w:val="637846F9"/>
    <w:rsid w:val="65AF1F22"/>
    <w:rsid w:val="668F4233"/>
    <w:rsid w:val="699B2708"/>
    <w:rsid w:val="6B0F6C92"/>
    <w:rsid w:val="6B8F54C3"/>
    <w:rsid w:val="72A11576"/>
    <w:rsid w:val="762519CD"/>
    <w:rsid w:val="779E0348"/>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unhideWhenUsed/>
    <w:qFormat/>
    <w:uiPriority w:val="0"/>
    <w:pPr>
      <w:widowControl w:val="0"/>
      <w:spacing w:beforeLines="0" w:afterLines="0" w:line="240" w:lineRule="atLeast"/>
      <w:ind w:firstLine="420"/>
      <w:jc w:val="both"/>
    </w:pPr>
    <w:rPr>
      <w:rFonts w:hint="default" w:ascii="Times New Roman" w:hAnsi="Times New Roman" w:eastAsia="仿宋_GB2312" w:cs="Times New Roman"/>
      <w:spacing w:val="0"/>
      <w:kern w:val="2"/>
      <w:sz w:val="21"/>
      <w:lang w:val="en-US" w:eastAsia="zh-CN"/>
    </w:rPr>
  </w:style>
  <w:style w:type="paragraph" w:styleId="4">
    <w:name w:val="annotation text"/>
    <w:basedOn w:val="1"/>
    <w:qFormat/>
    <w:uiPriority w:val="0"/>
    <w:pPr>
      <w:jc w:val="left"/>
    </w:pPr>
  </w:style>
  <w:style w:type="paragraph" w:styleId="5">
    <w:name w:val="Body Text"/>
    <w:basedOn w:val="1"/>
    <w:next w:val="1"/>
    <w:autoRedefine/>
    <w:qFormat/>
    <w:uiPriority w:val="0"/>
    <w:pPr>
      <w:spacing w:after="120"/>
    </w:pPr>
    <w:rPr>
      <w:szCs w:val="24"/>
    </w:rPr>
  </w:style>
  <w:style w:type="paragraph" w:styleId="6">
    <w:name w:val="Body Text Indent"/>
    <w:basedOn w:val="1"/>
    <w:autoRedefine/>
    <w:qFormat/>
    <w:uiPriority w:val="0"/>
    <w:pPr>
      <w:spacing w:after="120"/>
      <w:ind w:left="420"/>
    </w:pPr>
    <w:rPr>
      <w:sz w:val="22"/>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autoRedefine/>
    <w:qFormat/>
    <w:uiPriority w:val="0"/>
    <w:pPr>
      <w:ind w:firstLine="420"/>
    </w:pPr>
  </w:style>
  <w:style w:type="character" w:styleId="12">
    <w:name w:val="Hyperlink"/>
    <w:autoRedefine/>
    <w:qFormat/>
    <w:uiPriority w:val="99"/>
    <w:rPr>
      <w:color w:val="0000FF"/>
      <w:u w:val="single"/>
    </w:rPr>
  </w:style>
  <w:style w:type="paragraph" w:customStyle="1" w:styleId="13">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4">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5">
    <w:name w:val="No Spacing"/>
    <w:autoRedefine/>
    <w:qFormat/>
    <w:uiPriority w:val="1"/>
    <w:rPr>
      <w:rFonts w:ascii="宋体" w:hAnsi="宋体" w:eastAsia="宋体" w:cs="宋体"/>
      <w:kern w:val="0"/>
      <w:sz w:val="24"/>
      <w:szCs w:val="24"/>
      <w:lang w:val="en-US" w:eastAsia="zh-CN" w:bidi="ar-SA"/>
    </w:rPr>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6300</Words>
  <Characters>7085</Characters>
  <Lines>0</Lines>
  <Paragraphs>0</Paragraphs>
  <TotalTime>10</TotalTime>
  <ScaleCrop>false</ScaleCrop>
  <LinksUpToDate>false</LinksUpToDate>
  <CharactersWithSpaces>7137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王可爱</cp:lastModifiedBy>
  <dcterms:modified xsi:type="dcterms:W3CDTF">2025-07-15T05:52:35Z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50DA0D93D45A484385699439A1B11066_13</vt:lpwstr>
  </property>
  <property fmtid="{D5CDD505-2E9C-101B-9397-08002B2CF9AE}" pid="4" name="KSOTemplateDocerSaveRecord">
    <vt:lpwstr>eyJoZGlkIjoiMjkxZjg0N2YzZWU5MjNlMzUxZWI3MTU1ODhiNWEwMjYiLCJ1c2VySWQiOiI1MDMwNzMyMjMifQ==</vt:lpwstr>
  </property>
</Properties>
</file>