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99C75">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18"/>
        <w:gridCol w:w="4066"/>
        <w:gridCol w:w="731"/>
        <w:gridCol w:w="717"/>
        <w:gridCol w:w="1415"/>
        <w:gridCol w:w="1381"/>
        <w:gridCol w:w="1276"/>
        <w:gridCol w:w="2073"/>
      </w:tblGrid>
      <w:tr w14:paraId="3C86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19" w:type="pct"/>
            <w:vAlign w:val="center"/>
          </w:tcPr>
          <w:p w14:paraId="603CEE4E">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465" w:type="pct"/>
            <w:shd w:val="clear" w:color="auto" w:fill="auto"/>
            <w:vAlign w:val="center"/>
          </w:tcPr>
          <w:p w14:paraId="6D7520A7">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物资名称</w:t>
            </w:r>
          </w:p>
        </w:tc>
        <w:tc>
          <w:tcPr>
            <w:tcW w:w="1434" w:type="pct"/>
            <w:shd w:val="clear" w:color="auto" w:fill="auto"/>
            <w:vAlign w:val="center"/>
          </w:tcPr>
          <w:p w14:paraId="1AEB4A13">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主要技术要求</w:t>
            </w:r>
          </w:p>
        </w:tc>
        <w:tc>
          <w:tcPr>
            <w:tcW w:w="258" w:type="pct"/>
            <w:shd w:val="clear" w:color="auto" w:fill="auto"/>
            <w:vAlign w:val="center"/>
          </w:tcPr>
          <w:p w14:paraId="39D80EAC">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w:t>
            </w:r>
          </w:p>
        </w:tc>
        <w:tc>
          <w:tcPr>
            <w:tcW w:w="253" w:type="pct"/>
            <w:shd w:val="clear" w:color="auto" w:fill="auto"/>
            <w:vAlign w:val="center"/>
          </w:tcPr>
          <w:p w14:paraId="08469D65">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499" w:type="pct"/>
            <w:shd w:val="clear" w:color="auto" w:fill="auto"/>
            <w:vAlign w:val="center"/>
          </w:tcPr>
          <w:p w14:paraId="1169C4D0">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交货日期</w:t>
            </w:r>
          </w:p>
        </w:tc>
        <w:tc>
          <w:tcPr>
            <w:tcW w:w="487" w:type="pct"/>
            <w:vAlign w:val="center"/>
          </w:tcPr>
          <w:p w14:paraId="6506A708">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质保期（不低于）</w:t>
            </w:r>
          </w:p>
        </w:tc>
        <w:tc>
          <w:tcPr>
            <w:tcW w:w="450" w:type="pct"/>
            <w:shd w:val="clear" w:color="auto" w:fill="auto"/>
            <w:vAlign w:val="center"/>
          </w:tcPr>
          <w:p w14:paraId="2E13DEF9">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交货地点</w:t>
            </w:r>
          </w:p>
        </w:tc>
        <w:tc>
          <w:tcPr>
            <w:tcW w:w="731" w:type="pct"/>
            <w:shd w:val="clear" w:color="auto" w:fill="auto"/>
            <w:vAlign w:val="center"/>
          </w:tcPr>
          <w:p w14:paraId="3418AD88">
            <w:pPr>
              <w:widowControl/>
              <w:snapToGrid w:val="0"/>
              <w:ind w:firstLine="0" w:firstLineChars="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专用业绩要求</w:t>
            </w:r>
          </w:p>
        </w:tc>
      </w:tr>
      <w:tr w14:paraId="7BC1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9" w:hRule="atLeast"/>
          <w:jc w:val="center"/>
        </w:trPr>
        <w:tc>
          <w:tcPr>
            <w:tcW w:w="419" w:type="pct"/>
            <w:vMerge w:val="restart"/>
            <w:vAlign w:val="center"/>
          </w:tcPr>
          <w:p w14:paraId="1C3E6BB4">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固定、手持射频识别</w:t>
            </w:r>
            <w:r>
              <w:rPr>
                <w:rFonts w:hint="eastAsia" w:asciiTheme="minorEastAsia" w:hAnsiTheme="minorEastAsia" w:eastAsiaTheme="minorEastAsia" w:cstheme="minorEastAsia"/>
                <w:sz w:val="24"/>
                <w:szCs w:val="24"/>
                <w:highlight w:val="none"/>
              </w:rPr>
              <w:t>模组</w:t>
            </w:r>
            <w:r>
              <w:rPr>
                <w:rFonts w:hint="eastAsia" w:asciiTheme="minorEastAsia" w:hAnsiTheme="minorEastAsia" w:eastAsiaTheme="minorEastAsia" w:cstheme="minorEastAsia"/>
                <w:sz w:val="24"/>
                <w:szCs w:val="24"/>
                <w:highlight w:val="none"/>
                <w:lang w:val="en-US" w:eastAsia="zh-CN"/>
              </w:rPr>
              <w:t>等</w:t>
            </w:r>
            <w:r>
              <w:rPr>
                <w:rFonts w:hint="eastAsia" w:asciiTheme="minorEastAsia" w:hAnsiTheme="minorEastAsia" w:eastAsiaTheme="minorEastAsia" w:cstheme="minorEastAsia"/>
                <w:sz w:val="24"/>
                <w:szCs w:val="24"/>
                <w:highlight w:val="none"/>
              </w:rPr>
              <w:t>采购项目</w:t>
            </w:r>
          </w:p>
        </w:tc>
        <w:tc>
          <w:tcPr>
            <w:tcW w:w="465" w:type="pct"/>
            <w:shd w:val="clear" w:color="auto" w:fill="auto"/>
            <w:vAlign w:val="center"/>
          </w:tcPr>
          <w:p w14:paraId="428E859D">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手持</w:t>
            </w:r>
            <w:r>
              <w:rPr>
                <w:rFonts w:hint="eastAsia" w:asciiTheme="minorEastAsia" w:hAnsiTheme="minorEastAsia" w:eastAsiaTheme="minorEastAsia" w:cstheme="minorEastAsia"/>
                <w:sz w:val="24"/>
                <w:szCs w:val="24"/>
                <w:highlight w:val="none"/>
                <w:lang w:val="en-US" w:eastAsia="zh-CN"/>
              </w:rPr>
              <w:t>射频识别</w:t>
            </w:r>
            <w:r>
              <w:rPr>
                <w:rFonts w:hint="eastAsia" w:asciiTheme="minorEastAsia" w:hAnsiTheme="minorEastAsia" w:eastAsiaTheme="minorEastAsia" w:cstheme="minorEastAsia"/>
                <w:sz w:val="24"/>
                <w:szCs w:val="24"/>
                <w:highlight w:val="none"/>
              </w:rPr>
              <w:t>模组</w:t>
            </w:r>
          </w:p>
        </w:tc>
        <w:tc>
          <w:tcPr>
            <w:tcW w:w="1434" w:type="pct"/>
            <w:shd w:val="clear" w:color="auto" w:fill="auto"/>
            <w:vAlign w:val="center"/>
          </w:tcPr>
          <w:p w14:paraId="45A52D6E">
            <w:pPr>
              <w:spacing w:line="28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需支持HF/UHF RFID标签（兼容EPC C1G2、ISO 18000-6C协议），在0-10米可调范围内实现有效读取（≥1米），具备20秒内批量读取500张标签的能力，支持纸质、屏幕及金属表面标签扫描；内置四核及以上处理器与64GB存储（可扩展至128GB），配备USB Type-C及蓝牙5.0接口。无线通信需支持双频Wi-Fi（2.4GHz/5GHz, 802.11 a/b/g/n/ac）、全网通蜂窝网络（GSM/TD-SCDMA/WCDMA/4G/5G）及GPS/北斗/GLONASS多模定位（开放环境精度≤5米），集成条码扫描、NFC读写与800万像素前后</w:t>
            </w:r>
            <w:bookmarkStart w:id="1" w:name="_GoBack"/>
            <w:bookmarkEnd w:id="1"/>
            <w:r>
              <w:rPr>
                <w:rFonts w:hint="eastAsia" w:asciiTheme="minorEastAsia" w:hAnsiTheme="minorEastAsia" w:eastAsiaTheme="minorEastAsia" w:cstheme="minorEastAsia"/>
                <w:sz w:val="24"/>
                <w:szCs w:val="24"/>
                <w:highlight w:val="none"/>
              </w:rPr>
              <w:t>摄像头。物理防护需达IP65等级并通过MIL-STD-810G抗跌落认证，配置5英寸以上1080×1920分辨率阳光可视电容屏，采用可拆卸锂电池（续航≥10小时，支持30分钟快充至50%），工作温度适应-20℃~50℃。操作系统须为Android 10及以上，支持中英文界面切换，数据加密采用AES-256/TLS 1.2标准并配备指纹+密码双认证。</w:t>
            </w:r>
          </w:p>
        </w:tc>
        <w:tc>
          <w:tcPr>
            <w:tcW w:w="258" w:type="pct"/>
            <w:shd w:val="clear" w:color="000000" w:fill="FFFFFF"/>
            <w:vAlign w:val="center"/>
          </w:tcPr>
          <w:p w14:paraId="01265438">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253" w:type="pct"/>
            <w:shd w:val="clear" w:color="000000" w:fill="FFFFFF"/>
            <w:vAlign w:val="center"/>
          </w:tcPr>
          <w:p w14:paraId="0E74ECB1">
            <w:pPr>
              <w:widowControl/>
              <w:snapToGrid w:val="0"/>
              <w:ind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99" w:type="pct"/>
            <w:shd w:val="clear" w:color="auto" w:fill="auto"/>
            <w:vAlign w:val="center"/>
          </w:tcPr>
          <w:p w14:paraId="117D64C9">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7DC90F8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72727DD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restart"/>
            <w:shd w:val="clear" w:color="auto" w:fill="auto"/>
            <w:vAlign w:val="center"/>
          </w:tcPr>
          <w:p w14:paraId="46525C62">
            <w:pPr>
              <w:widowControl/>
              <w:snapToGrid w:val="0"/>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业绩要求：</w:t>
            </w:r>
            <w:r>
              <w:rPr>
                <w:rFonts w:hint="eastAsia" w:asciiTheme="minorEastAsia" w:hAnsiTheme="minorEastAsia" w:eastAsiaTheme="minorEastAsia" w:cstheme="minorEastAsia"/>
                <w:bCs w:val="0"/>
                <w:color w:val="000000" w:themeColor="text1"/>
                <w:kern w:val="0"/>
                <w:sz w:val="24"/>
                <w:szCs w:val="24"/>
                <w:highlight w:val="none"/>
                <w:lang w:val="en-US" w:eastAsia="zh-CN" w:bidi="ar-SA"/>
                <w14:textFill>
                  <w14:solidFill>
                    <w14:schemeClr w14:val="tx1"/>
                  </w14:solidFill>
                </w14:textFill>
              </w:rPr>
              <w:t>2022年1月1日至投标截止日内，完成智能仓储设备相类似业绩不少于1份，累计金额不低于 150万元。注:业绩必须提供对应的合同复印件、发票和相应查验截图。</w:t>
            </w:r>
          </w:p>
        </w:tc>
      </w:tr>
      <w:tr w14:paraId="770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1A9B10E4">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7586CE9C">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固定射频识别</w:t>
            </w:r>
            <w:r>
              <w:rPr>
                <w:rFonts w:hint="eastAsia" w:asciiTheme="minorEastAsia" w:hAnsiTheme="minorEastAsia" w:eastAsiaTheme="minorEastAsia" w:cstheme="minorEastAsia"/>
                <w:sz w:val="24"/>
                <w:szCs w:val="24"/>
                <w:highlight w:val="none"/>
              </w:rPr>
              <w:t>模组</w:t>
            </w:r>
          </w:p>
        </w:tc>
        <w:tc>
          <w:tcPr>
            <w:tcW w:w="1434" w:type="pct"/>
            <w:shd w:val="clear" w:color="auto" w:fill="auto"/>
            <w:vAlign w:val="center"/>
          </w:tcPr>
          <w:p w14:paraId="3FCF1876">
            <w:pPr>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需符合EPC Class 1 Gen 2（ISO 18000-6C）标准，支持连续读取模式，在5-7秒内完成500-800个标签的批量读取并具备标签过滤功能；具备方向判断能力，可自动识别货物进出通道方向并触发标签读取，异常标签触发声光报警。有效读取范围宽度≥10米，读取准确率100%（需满足国网上海电力物资部门规定的包装、标签粘贴及拖车摆放标准）。内置高性能处理器及≥16GB内存，实时处理并存储标签数据，适应0℃~60℃工作环境。设备需配备图形化操作界面，兼容国产安全操作系统、Android或Windows系统，支持中英文语言切换。质保期为验收后2年，期满后提供3年非人为损坏免费维护，供应商需提供安装调试、定期维护及操作培训服务。支持外形定制化设计，提供Java/C# SDK开发包以满足二次开发需求。</w:t>
            </w:r>
          </w:p>
        </w:tc>
        <w:tc>
          <w:tcPr>
            <w:tcW w:w="258" w:type="pct"/>
            <w:shd w:val="clear" w:color="000000" w:fill="FFFFFF"/>
            <w:vAlign w:val="center"/>
          </w:tcPr>
          <w:p w14:paraId="3F95E7E0">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253" w:type="pct"/>
            <w:shd w:val="clear" w:color="000000" w:fill="FFFFFF"/>
            <w:vAlign w:val="center"/>
          </w:tcPr>
          <w:p w14:paraId="54BC6ABF">
            <w:pPr>
              <w:widowControl/>
              <w:snapToGrid w:val="0"/>
              <w:ind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99" w:type="pct"/>
            <w:shd w:val="clear" w:color="auto" w:fill="auto"/>
            <w:vAlign w:val="center"/>
          </w:tcPr>
          <w:p w14:paraId="20230A6D">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44B2D1D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46627DD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1024084F">
            <w:pPr>
              <w:widowControl/>
              <w:snapToGrid w:val="0"/>
              <w:ind w:firstLine="0" w:firstLineChars="0"/>
              <w:rPr>
                <w:rFonts w:hint="eastAsia" w:asciiTheme="minorEastAsia" w:hAnsiTheme="minorEastAsia" w:eastAsiaTheme="minorEastAsia" w:cstheme="minorEastAsia"/>
                <w:sz w:val="24"/>
                <w:szCs w:val="24"/>
                <w:highlight w:val="none"/>
              </w:rPr>
            </w:pPr>
          </w:p>
        </w:tc>
      </w:tr>
      <w:tr w14:paraId="020E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1DA63550">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3EB7C464">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操作终端组件</w:t>
            </w:r>
          </w:p>
        </w:tc>
        <w:tc>
          <w:tcPr>
            <w:tcW w:w="1434" w:type="pct"/>
            <w:shd w:val="clear" w:color="auto" w:fill="auto"/>
            <w:vAlign w:val="center"/>
          </w:tcPr>
          <w:p w14:paraId="41D0DB11">
            <w:pPr>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需搭载多核处理器（主频不低于2.7GHz），配备≥32GB RAM内存及≥1TB内置存储（支持外部扩展）；通信接口需含双LAN口、Wi-Fi（802.11a/b/g/n/ac）、蓝牙5.0、2个USB端口及1个RS232串口。配置32英寸以上全高清触摸屏（分辨率≥1920×1080），支持多点触控及图形化操作界面，工作电压220V，适应0℃~50℃环境温度。机身采用高强度塑料/金属合金抗冲击结构，内置防病毒及网络防护功能，集成一维/二维条码扫描模块、二代身份证读取器、UHF RFID读写器（支持EPC C1G2协议）及500万像素宽动态前置摄像头（30fps，支持人脸识别）。</w:t>
            </w:r>
          </w:p>
        </w:tc>
        <w:tc>
          <w:tcPr>
            <w:tcW w:w="258" w:type="pct"/>
            <w:shd w:val="clear" w:color="000000" w:fill="FFFFFF"/>
            <w:vAlign w:val="center"/>
          </w:tcPr>
          <w:p w14:paraId="1FCE53C3">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253" w:type="pct"/>
            <w:shd w:val="clear" w:color="000000" w:fill="FFFFFF"/>
            <w:vAlign w:val="center"/>
          </w:tcPr>
          <w:p w14:paraId="5CC348B9">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w:t>
            </w:r>
          </w:p>
        </w:tc>
        <w:tc>
          <w:tcPr>
            <w:tcW w:w="499" w:type="pct"/>
            <w:shd w:val="clear" w:color="auto" w:fill="auto"/>
            <w:vAlign w:val="center"/>
          </w:tcPr>
          <w:p w14:paraId="77AD5E6A">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4FBC28B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2B5833F2">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2BE3FFE4">
            <w:pPr>
              <w:widowControl/>
              <w:snapToGrid w:val="0"/>
              <w:ind w:firstLine="0" w:firstLineChars="0"/>
              <w:rPr>
                <w:rFonts w:hint="eastAsia" w:asciiTheme="minorEastAsia" w:hAnsiTheme="minorEastAsia" w:eastAsiaTheme="minorEastAsia" w:cstheme="minorEastAsia"/>
                <w:sz w:val="24"/>
                <w:szCs w:val="24"/>
                <w:highlight w:val="none"/>
              </w:rPr>
            </w:pPr>
          </w:p>
        </w:tc>
      </w:tr>
      <w:tr w14:paraId="013B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043C5351">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24ECE311">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图像采集组件</w:t>
            </w:r>
          </w:p>
        </w:tc>
        <w:tc>
          <w:tcPr>
            <w:tcW w:w="1434" w:type="pct"/>
            <w:shd w:val="clear" w:color="auto" w:fill="auto"/>
            <w:vAlign w:val="center"/>
          </w:tcPr>
          <w:p w14:paraId="2BED34D3">
            <w:pPr>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相机需支持4096×2160分辨率（≥800万像素）彩色图像采集，帧率≥30fps，支持BayerRG8/10/10Packed及BayerGB8/10/10Packed格式，具备软件触发、硬件触发与自由运行三种采集模式，支持X/Y轴图像翻转；接口需含USB 3.0及6芯</w:t>
            </w:r>
            <w:bookmarkStart w:id="0" w:name="OLE_LINK1"/>
            <w:r>
              <w:rPr>
                <w:rFonts w:hint="eastAsia" w:asciiTheme="minorEastAsia" w:hAnsiTheme="minorEastAsia" w:eastAsiaTheme="minorEastAsia" w:cstheme="minorEastAsia"/>
                <w:sz w:val="24"/>
                <w:szCs w:val="24"/>
                <w:highlight w:val="none"/>
              </w:rPr>
              <w:t xml:space="preserve"> GPIO</w:t>
            </w:r>
            <w:bookmarkEnd w:id="0"/>
            <w:r>
              <w:rPr>
                <w:rFonts w:hint="eastAsia" w:asciiTheme="minorEastAsia" w:hAnsiTheme="minorEastAsia" w:eastAsiaTheme="minorEastAsia" w:cstheme="minorEastAsia"/>
                <w:sz w:val="24"/>
                <w:szCs w:val="24"/>
                <w:highlight w:val="none"/>
              </w:rPr>
              <w:t>（含1路光耦隔离输入、1路光耦隔离输出、1路可配置非隔离I/O），支持2组用户自定义配置存储，配备64MB图像缓存与64MB数据缓存。供电方式兼容USB供电或接口直流供电（电压范围9V~24V，功耗≤4.0W），适应-30℃~+50℃工作温度及-30℃~+80℃存储温度。</w:t>
            </w:r>
          </w:p>
        </w:tc>
        <w:tc>
          <w:tcPr>
            <w:tcW w:w="258" w:type="pct"/>
            <w:shd w:val="clear" w:color="000000" w:fill="FFFFFF"/>
            <w:vAlign w:val="center"/>
          </w:tcPr>
          <w:p w14:paraId="34D3A478">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253" w:type="pct"/>
            <w:shd w:val="clear" w:color="000000" w:fill="FFFFFF"/>
            <w:vAlign w:val="center"/>
          </w:tcPr>
          <w:p w14:paraId="75F67A59">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w:t>
            </w:r>
          </w:p>
        </w:tc>
        <w:tc>
          <w:tcPr>
            <w:tcW w:w="499" w:type="pct"/>
            <w:shd w:val="clear" w:color="auto" w:fill="auto"/>
            <w:vAlign w:val="center"/>
          </w:tcPr>
          <w:p w14:paraId="34DEDA5B">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30A699B8">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4A2EA446">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1749EE79">
            <w:pPr>
              <w:widowControl/>
              <w:snapToGrid w:val="0"/>
              <w:ind w:firstLine="0" w:firstLineChars="0"/>
              <w:rPr>
                <w:rFonts w:hint="eastAsia" w:asciiTheme="minorEastAsia" w:hAnsiTheme="minorEastAsia" w:eastAsiaTheme="minorEastAsia" w:cstheme="minorEastAsia"/>
                <w:sz w:val="24"/>
                <w:szCs w:val="24"/>
                <w:highlight w:val="none"/>
              </w:rPr>
            </w:pPr>
          </w:p>
        </w:tc>
      </w:tr>
      <w:tr w14:paraId="79E5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48A64FA1">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4D0E227B">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AGV搬运模组</w:t>
            </w:r>
          </w:p>
        </w:tc>
        <w:tc>
          <w:tcPr>
            <w:tcW w:w="1434" w:type="pct"/>
            <w:shd w:val="clear" w:color="auto" w:fill="auto"/>
            <w:vAlign w:val="center"/>
          </w:tcPr>
          <w:p w14:paraId="47B35220">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体采用平衡重式设计，适配1200×1000mm围栏/塑料托盘及1780×1200mm围栏托盘，托盘带货最大高度2000mm，最大载重3000kg；支持激光SLAM导航（位置精度±10mm）及手持器/自动双模式驾驶，伺服控制驱动，行驶速度满载1.3m/s、空载1.5m/s，举升高度3800mm（满载/空载起升速度110/130mm/s，下降速度140/110mm/s）；配备聚氨酯静音轮胎，48V/300Ah锂电池（续航8-10小时，充电3-4小时可充至80%），支持自动/手动充电（循环次数＞2000次），通讯采用5G/Wi-Fi双模，电磁制动系统，最小转弯半径1883mm。</w:t>
            </w:r>
          </w:p>
          <w:p w14:paraId="2123EB58">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包含调度系统，需提供和上位WCS/WMS系统的接口联调方案。</w:t>
            </w:r>
          </w:p>
          <w:p w14:paraId="5CDC6A42">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包含反反光柱，且数量不低于25个。</w:t>
            </w:r>
          </w:p>
          <w:p w14:paraId="38226DCC">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AGV接驳定位装置：可以放下1780mm*1200mm*2000mm围栏托盘</w:t>
            </w:r>
          </w:p>
        </w:tc>
        <w:tc>
          <w:tcPr>
            <w:tcW w:w="258" w:type="pct"/>
            <w:shd w:val="clear" w:color="000000" w:fill="FFFFFF"/>
            <w:vAlign w:val="center"/>
          </w:tcPr>
          <w:p w14:paraId="5119FEBE">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253" w:type="pct"/>
            <w:shd w:val="clear" w:color="000000" w:fill="FFFFFF"/>
            <w:vAlign w:val="center"/>
          </w:tcPr>
          <w:p w14:paraId="564AF90B">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w:t>
            </w:r>
          </w:p>
        </w:tc>
        <w:tc>
          <w:tcPr>
            <w:tcW w:w="499" w:type="pct"/>
            <w:shd w:val="clear" w:color="auto" w:fill="auto"/>
            <w:vAlign w:val="center"/>
          </w:tcPr>
          <w:p w14:paraId="39252898">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22B33780">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3E4D8F66">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32988CD8">
            <w:pPr>
              <w:widowControl/>
              <w:snapToGrid w:val="0"/>
              <w:ind w:firstLine="0" w:firstLineChars="0"/>
              <w:rPr>
                <w:rFonts w:hint="eastAsia" w:asciiTheme="minorEastAsia" w:hAnsiTheme="minorEastAsia" w:eastAsiaTheme="minorEastAsia" w:cstheme="minorEastAsia"/>
                <w:sz w:val="24"/>
                <w:szCs w:val="24"/>
                <w:highlight w:val="none"/>
              </w:rPr>
            </w:pPr>
          </w:p>
        </w:tc>
      </w:tr>
      <w:tr w14:paraId="7770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73A43FB1">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2F5BE52C">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充电桩组件</w:t>
            </w:r>
          </w:p>
          <w:p w14:paraId="0C03FA22">
            <w:pPr>
              <w:ind w:firstLine="0" w:firstLineChars="0"/>
              <w:jc w:val="left"/>
              <w:rPr>
                <w:rFonts w:hint="eastAsia" w:asciiTheme="minorEastAsia" w:hAnsiTheme="minorEastAsia" w:eastAsiaTheme="minorEastAsia" w:cstheme="minorEastAsia"/>
                <w:sz w:val="24"/>
                <w:szCs w:val="24"/>
                <w:highlight w:val="none"/>
              </w:rPr>
            </w:pPr>
          </w:p>
        </w:tc>
        <w:tc>
          <w:tcPr>
            <w:tcW w:w="1434" w:type="pct"/>
            <w:shd w:val="clear" w:color="auto" w:fill="auto"/>
            <w:vAlign w:val="center"/>
          </w:tcPr>
          <w:p w14:paraId="530C7806">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尺寸≤600×500×1000mm，输入380V±10%交流电（50-60Hz），输出32-68VDC/≤100A，功率≥6000W，工作噪声≤55dB，适应0-40℃环境（湿度5%-90%，海拔≤2000m）；通讯支持Wi-Fi/有线/5G，开放19204、20204、20207端口。</w:t>
            </w:r>
          </w:p>
        </w:tc>
        <w:tc>
          <w:tcPr>
            <w:tcW w:w="258" w:type="pct"/>
            <w:shd w:val="clear" w:color="000000" w:fill="FFFFFF"/>
            <w:vAlign w:val="center"/>
          </w:tcPr>
          <w:p w14:paraId="2EE25398">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253" w:type="pct"/>
            <w:shd w:val="clear" w:color="000000" w:fill="FFFFFF"/>
            <w:vAlign w:val="center"/>
          </w:tcPr>
          <w:p w14:paraId="0E48497E">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2</w:t>
            </w:r>
          </w:p>
        </w:tc>
        <w:tc>
          <w:tcPr>
            <w:tcW w:w="499" w:type="pct"/>
            <w:shd w:val="clear" w:color="auto" w:fill="auto"/>
            <w:vAlign w:val="center"/>
          </w:tcPr>
          <w:p w14:paraId="6B7884E2">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600C607B">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469F3521">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398CC71C">
            <w:pPr>
              <w:widowControl/>
              <w:snapToGrid w:val="0"/>
              <w:ind w:firstLine="0" w:firstLineChars="0"/>
              <w:rPr>
                <w:rFonts w:hint="eastAsia" w:asciiTheme="minorEastAsia" w:hAnsiTheme="minorEastAsia" w:eastAsiaTheme="minorEastAsia" w:cstheme="minorEastAsia"/>
                <w:sz w:val="24"/>
                <w:szCs w:val="24"/>
                <w:highlight w:val="none"/>
              </w:rPr>
            </w:pPr>
          </w:p>
        </w:tc>
      </w:tr>
      <w:tr w14:paraId="4568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6BE1D51E">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0F7F0EB6">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称重模组</w:t>
            </w:r>
          </w:p>
        </w:tc>
        <w:tc>
          <w:tcPr>
            <w:tcW w:w="1434" w:type="pct"/>
            <w:shd w:val="clear" w:color="auto" w:fill="auto"/>
            <w:vAlign w:val="center"/>
          </w:tcPr>
          <w:p w14:paraId="4F837880">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支持1200×1000×2000mm围栏/塑料托盘及1780×1200×2000mm围栏托盘，最大称重2000kg，具备超重声光报警及货架限重指引功能（报警信息需人工确认后执行操作）。</w:t>
            </w:r>
          </w:p>
        </w:tc>
        <w:tc>
          <w:tcPr>
            <w:tcW w:w="258" w:type="pct"/>
            <w:shd w:val="clear" w:color="000000" w:fill="FFFFFF"/>
            <w:vAlign w:val="center"/>
          </w:tcPr>
          <w:p w14:paraId="5C59923C">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253" w:type="pct"/>
            <w:shd w:val="clear" w:color="000000" w:fill="FFFFFF"/>
            <w:vAlign w:val="center"/>
          </w:tcPr>
          <w:p w14:paraId="5B82EA16">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1</w:t>
            </w:r>
          </w:p>
        </w:tc>
        <w:tc>
          <w:tcPr>
            <w:tcW w:w="499" w:type="pct"/>
            <w:shd w:val="clear" w:color="auto" w:fill="auto"/>
            <w:vAlign w:val="center"/>
          </w:tcPr>
          <w:p w14:paraId="1EB4F628">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389DDE17">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245583F3">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2F265531">
            <w:pPr>
              <w:widowControl/>
              <w:snapToGrid w:val="0"/>
              <w:ind w:firstLine="0" w:firstLineChars="0"/>
              <w:rPr>
                <w:rFonts w:hint="eastAsia" w:asciiTheme="minorEastAsia" w:hAnsiTheme="minorEastAsia" w:eastAsiaTheme="minorEastAsia" w:cstheme="minorEastAsia"/>
                <w:sz w:val="24"/>
                <w:szCs w:val="24"/>
                <w:highlight w:val="none"/>
              </w:rPr>
            </w:pPr>
          </w:p>
        </w:tc>
      </w:tr>
      <w:tr w14:paraId="0912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784C84CF">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7B5463D6">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计算单元</w:t>
            </w:r>
          </w:p>
        </w:tc>
        <w:tc>
          <w:tcPr>
            <w:tcW w:w="1434" w:type="pct"/>
            <w:shd w:val="clear" w:color="auto" w:fill="auto"/>
            <w:vAlign w:val="center"/>
          </w:tcPr>
          <w:p w14:paraId="67719948">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知名主流品牌，配置不低于1.9GHz/32G DDR4内存/2*2TB。</w:t>
            </w:r>
          </w:p>
        </w:tc>
        <w:tc>
          <w:tcPr>
            <w:tcW w:w="258" w:type="pct"/>
            <w:shd w:val="clear" w:color="000000" w:fill="FFFFFF"/>
            <w:vAlign w:val="center"/>
          </w:tcPr>
          <w:p w14:paraId="7B42E4FA">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253" w:type="pct"/>
            <w:shd w:val="clear" w:color="000000" w:fill="FFFFFF"/>
            <w:vAlign w:val="center"/>
          </w:tcPr>
          <w:p w14:paraId="61E17140">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1</w:t>
            </w:r>
          </w:p>
        </w:tc>
        <w:tc>
          <w:tcPr>
            <w:tcW w:w="499" w:type="pct"/>
            <w:shd w:val="clear" w:color="auto" w:fill="auto"/>
            <w:vAlign w:val="center"/>
          </w:tcPr>
          <w:p w14:paraId="341CA82A">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2D297F46">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63D80562">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510A03AD">
            <w:pPr>
              <w:widowControl/>
              <w:snapToGrid w:val="0"/>
              <w:ind w:firstLine="0" w:firstLineChars="0"/>
              <w:rPr>
                <w:rFonts w:hint="eastAsia" w:asciiTheme="minorEastAsia" w:hAnsiTheme="minorEastAsia" w:eastAsiaTheme="minorEastAsia" w:cstheme="minorEastAsia"/>
                <w:sz w:val="24"/>
                <w:szCs w:val="24"/>
                <w:highlight w:val="none"/>
              </w:rPr>
            </w:pPr>
          </w:p>
        </w:tc>
      </w:tr>
      <w:tr w14:paraId="2728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9" w:type="pct"/>
            <w:vMerge w:val="continue"/>
            <w:vAlign w:val="center"/>
          </w:tcPr>
          <w:p w14:paraId="517A25A1">
            <w:pPr>
              <w:widowControl/>
              <w:snapToGrid w:val="0"/>
              <w:ind w:firstLine="0" w:firstLineChars="0"/>
              <w:rPr>
                <w:rFonts w:hint="eastAsia" w:asciiTheme="minorEastAsia" w:hAnsiTheme="minorEastAsia" w:eastAsiaTheme="minorEastAsia" w:cstheme="minorEastAsia"/>
                <w:sz w:val="24"/>
                <w:szCs w:val="24"/>
                <w:highlight w:val="none"/>
              </w:rPr>
            </w:pPr>
          </w:p>
        </w:tc>
        <w:tc>
          <w:tcPr>
            <w:tcW w:w="465" w:type="pct"/>
            <w:shd w:val="clear" w:color="auto" w:fill="auto"/>
            <w:vAlign w:val="center"/>
          </w:tcPr>
          <w:p w14:paraId="7B541D12">
            <w:pPr>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工控单元</w:t>
            </w:r>
          </w:p>
        </w:tc>
        <w:tc>
          <w:tcPr>
            <w:tcW w:w="1434" w:type="pct"/>
            <w:shd w:val="clear" w:color="auto" w:fill="auto"/>
            <w:vAlign w:val="center"/>
          </w:tcPr>
          <w:p w14:paraId="5FBB02A0">
            <w:pPr>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配置不低于3.3GHz，内存不低于8GB,硬盘不低于500GB。</w:t>
            </w:r>
          </w:p>
        </w:tc>
        <w:tc>
          <w:tcPr>
            <w:tcW w:w="258" w:type="pct"/>
            <w:shd w:val="clear" w:color="000000" w:fill="FFFFFF"/>
            <w:vAlign w:val="center"/>
          </w:tcPr>
          <w:p w14:paraId="40AB3C06">
            <w:pPr>
              <w:widowControl/>
              <w:snapToGrid w:val="0"/>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253" w:type="pct"/>
            <w:shd w:val="clear" w:color="000000" w:fill="FFFFFF"/>
            <w:vAlign w:val="center"/>
          </w:tcPr>
          <w:p w14:paraId="6EF2E1A0">
            <w:pPr>
              <w:widowControl/>
              <w:snapToGrid w:val="0"/>
              <w:ind w:firstLine="0" w:firstLineChars="0"/>
              <w:jc w:val="center"/>
              <w:textAlignment w:val="center"/>
              <w:rPr>
                <w:rFonts w:hint="eastAsia"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1</w:t>
            </w:r>
          </w:p>
        </w:tc>
        <w:tc>
          <w:tcPr>
            <w:tcW w:w="499" w:type="pct"/>
            <w:shd w:val="clear" w:color="auto" w:fill="auto"/>
            <w:vAlign w:val="center"/>
          </w:tcPr>
          <w:p w14:paraId="054A583E">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接到供货通知后30日内</w:t>
            </w:r>
          </w:p>
        </w:tc>
        <w:tc>
          <w:tcPr>
            <w:tcW w:w="487" w:type="pct"/>
            <w:vAlign w:val="center"/>
          </w:tcPr>
          <w:p w14:paraId="49C9FAE8">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3年</w:t>
            </w:r>
          </w:p>
        </w:tc>
        <w:tc>
          <w:tcPr>
            <w:tcW w:w="450" w:type="pct"/>
            <w:shd w:val="clear" w:color="auto" w:fill="auto"/>
            <w:vAlign w:val="center"/>
          </w:tcPr>
          <w:p w14:paraId="76E57D61">
            <w:pPr>
              <w:widowControl/>
              <w:snapToGrid w:val="0"/>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731" w:type="pct"/>
            <w:vMerge w:val="continue"/>
            <w:shd w:val="clear" w:color="auto" w:fill="auto"/>
            <w:vAlign w:val="center"/>
          </w:tcPr>
          <w:p w14:paraId="42B6C6AF">
            <w:pPr>
              <w:widowControl/>
              <w:snapToGrid w:val="0"/>
              <w:ind w:firstLine="0" w:firstLineChars="0"/>
              <w:rPr>
                <w:rFonts w:hint="eastAsia" w:asciiTheme="minorEastAsia" w:hAnsiTheme="minorEastAsia" w:eastAsiaTheme="minorEastAsia" w:cstheme="minorEastAsia"/>
                <w:sz w:val="24"/>
                <w:szCs w:val="24"/>
                <w:highlight w:val="none"/>
              </w:rPr>
            </w:pPr>
          </w:p>
        </w:tc>
      </w:tr>
    </w:tbl>
    <w:p w14:paraId="0607372A">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70A7E4C6">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1B770043">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EE6E0B2">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033A7F4E">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1F03BB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FB5B">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9ACCF">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79ACCF">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1A04EC6">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1A04EC6">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A2F2590"/>
    <w:rsid w:val="3CED70CC"/>
    <w:rsid w:val="42CE694E"/>
    <w:rsid w:val="4AA15384"/>
    <w:rsid w:val="4ABD7A75"/>
    <w:rsid w:val="4D2E620D"/>
    <w:rsid w:val="4F403134"/>
    <w:rsid w:val="50E64EAF"/>
    <w:rsid w:val="50EC207F"/>
    <w:rsid w:val="511E0452"/>
    <w:rsid w:val="51340035"/>
    <w:rsid w:val="516A3318"/>
    <w:rsid w:val="52E50E5B"/>
    <w:rsid w:val="637846F9"/>
    <w:rsid w:val="668F4233"/>
    <w:rsid w:val="699B2708"/>
    <w:rsid w:val="6A0534A5"/>
    <w:rsid w:val="6B0F6C92"/>
    <w:rsid w:val="6B8F54C3"/>
    <w:rsid w:val="6C2D0DCB"/>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5063</Words>
  <Characters>5706</Characters>
  <Lines>0</Lines>
  <Paragraphs>0</Paragraphs>
  <TotalTime>0</TotalTime>
  <ScaleCrop>false</ScaleCrop>
  <LinksUpToDate>false</LinksUpToDate>
  <CharactersWithSpaces>5739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2025-07-15T09:06:53Z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FF12C0CB2E754ED5BFD5742D33F1973D_13</vt:lpwstr>
  </property>
  <property fmtid="{D5CDD505-2E9C-101B-9397-08002B2CF9AE}" pid="4" name="KSOTemplateDocerSaveRecord">
    <vt:lpwstr>eyJoZGlkIjoiMzcwNjJhMjRjNDdiZDcxN2YwM2E3NTkwZGEwYzQ4ZjMiLCJ1c2VySWQiOiIxMTMxODAxOTk4In0=</vt:lpwstr>
  </property>
</Properties>
</file>