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6F876">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 xml:space="preserve">附件1   </w:t>
      </w:r>
      <w:bookmarkStart w:id="0" w:name="_GoBack"/>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招标需求一览表</w:t>
      </w:r>
      <w:bookmarkEnd w:id="0"/>
    </w:p>
    <w:tbl>
      <w:tblPr>
        <w:tblStyle w:val="9"/>
        <w:tblpPr w:leftFromText="180" w:rightFromText="180" w:vertAnchor="text" w:horzAnchor="page" w:tblpX="1202" w:tblpY="655"/>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069"/>
        <w:gridCol w:w="3935"/>
        <w:gridCol w:w="870"/>
        <w:gridCol w:w="726"/>
        <w:gridCol w:w="1290"/>
        <w:gridCol w:w="1423"/>
        <w:gridCol w:w="1264"/>
        <w:gridCol w:w="2869"/>
      </w:tblGrid>
      <w:tr w14:paraId="10AD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53" w:type="pct"/>
            <w:noWrap w:val="0"/>
            <w:vAlign w:val="center"/>
          </w:tcPr>
          <w:p w14:paraId="2B9ADAD8">
            <w:pPr>
              <w:widowControl/>
              <w:ind w:left="0" w:leftChars="0" w:firstLine="0" w:firstLineChars="0"/>
              <w:jc w:val="center"/>
              <w:rPr>
                <w:rFonts w:hint="eastAsia" w:asciiTheme="minorEastAsia" w:hAnsiTheme="minorEastAsia" w:eastAsiaTheme="minorEastAsia" w:cstheme="minorEastAsia"/>
                <w:b/>
                <w:bCs/>
                <w:color w:val="000000"/>
                <w:kern w:val="0"/>
                <w:sz w:val="24"/>
                <w:szCs w:val="24"/>
                <w:highlight w:val="none"/>
                <w:lang w:val="en-US" w:eastAsia="zh-CN"/>
              </w:rPr>
            </w:pPr>
            <w:r>
              <w:rPr>
                <w:rFonts w:hint="eastAsia" w:asciiTheme="minorEastAsia" w:hAnsiTheme="minorEastAsia" w:eastAsiaTheme="minorEastAsia" w:cstheme="minorEastAsia"/>
                <w:b/>
                <w:bCs/>
                <w:color w:val="000000"/>
                <w:kern w:val="0"/>
                <w:sz w:val="24"/>
                <w:szCs w:val="24"/>
                <w:highlight w:val="none"/>
                <w:lang w:val="en-US" w:eastAsia="zh-CN"/>
              </w:rPr>
              <w:t>序号</w:t>
            </w:r>
          </w:p>
        </w:tc>
        <w:tc>
          <w:tcPr>
            <w:tcW w:w="377" w:type="pct"/>
            <w:noWrap w:val="0"/>
            <w:vAlign w:val="center"/>
          </w:tcPr>
          <w:p w14:paraId="570E7D1F">
            <w:pPr>
              <w:widowControl/>
              <w:ind w:left="0" w:leftChars="0" w:firstLine="0" w:firstLineChars="0"/>
              <w:jc w:val="center"/>
              <w:rPr>
                <w:rFonts w:hint="eastAsia" w:asciiTheme="minorEastAsia" w:hAnsiTheme="minorEastAsia" w:eastAsiaTheme="minorEastAsia" w:cstheme="minorEastAsia"/>
                <w:b/>
                <w:bCs/>
                <w:color w:val="000000"/>
                <w:kern w:val="0"/>
                <w:sz w:val="24"/>
                <w:szCs w:val="24"/>
                <w:highlight w:val="none"/>
                <w:lang w:val="en-US" w:eastAsia="zh-CN"/>
              </w:rPr>
            </w:pPr>
            <w:r>
              <w:rPr>
                <w:rFonts w:hint="eastAsia" w:asciiTheme="minorEastAsia" w:hAnsiTheme="minorEastAsia" w:eastAsiaTheme="minorEastAsia" w:cstheme="minorEastAsia"/>
                <w:b/>
                <w:bCs/>
                <w:color w:val="000000"/>
                <w:kern w:val="0"/>
                <w:sz w:val="24"/>
                <w:szCs w:val="24"/>
                <w:highlight w:val="none"/>
                <w:lang w:val="en-US" w:eastAsia="zh-CN"/>
              </w:rPr>
              <w:t>物资名称</w:t>
            </w:r>
          </w:p>
        </w:tc>
        <w:tc>
          <w:tcPr>
            <w:tcW w:w="1388" w:type="pct"/>
            <w:noWrap w:val="0"/>
            <w:vAlign w:val="center"/>
          </w:tcPr>
          <w:p w14:paraId="5B005D64">
            <w:pPr>
              <w:keepNext w:val="0"/>
              <w:keepLines w:val="0"/>
              <w:pageBreakBefore w:val="0"/>
              <w:widowControl/>
              <w:kinsoku/>
              <w:wordWrap/>
              <w:overflowPunct/>
              <w:autoSpaceDE/>
              <w:autoSpaceDN/>
              <w:bidi w:val="0"/>
              <w:snapToGrid w:val="0"/>
              <w:spacing w:line="240" w:lineRule="auto"/>
              <w:ind w:left="0" w:leftChars="0" w:firstLine="0" w:firstLineChars="0"/>
              <w:jc w:val="center"/>
              <w:rPr>
                <w:rFonts w:hint="eastAsia" w:asciiTheme="minorEastAsia" w:hAnsiTheme="minorEastAsia" w:eastAsiaTheme="minorEastAsia" w:cstheme="minorEastAsia"/>
                <w:b/>
                <w:bCs/>
                <w:color w:val="000000"/>
                <w:kern w:val="0"/>
                <w:sz w:val="24"/>
                <w:szCs w:val="24"/>
                <w:highlight w:val="none"/>
                <w:lang w:val="en-US" w:eastAsia="zh-CN"/>
              </w:rPr>
            </w:pPr>
            <w:r>
              <w:rPr>
                <w:rFonts w:hint="eastAsia" w:asciiTheme="minorEastAsia" w:hAnsiTheme="minorEastAsia" w:eastAsiaTheme="minorEastAsia" w:cstheme="minorEastAsia"/>
                <w:b/>
                <w:bCs/>
                <w:color w:val="000000"/>
                <w:kern w:val="0"/>
                <w:sz w:val="24"/>
                <w:szCs w:val="24"/>
                <w:highlight w:val="none"/>
                <w:lang w:val="en-US" w:eastAsia="zh-CN"/>
              </w:rPr>
              <w:t>主要技术要求</w:t>
            </w:r>
          </w:p>
        </w:tc>
        <w:tc>
          <w:tcPr>
            <w:tcW w:w="307" w:type="pct"/>
            <w:noWrap w:val="0"/>
            <w:vAlign w:val="center"/>
          </w:tcPr>
          <w:p w14:paraId="059F7549">
            <w:pPr>
              <w:widowControl/>
              <w:ind w:left="0" w:leftChars="0" w:firstLine="0" w:firstLineChars="0"/>
              <w:jc w:val="center"/>
              <w:rPr>
                <w:rFonts w:hint="eastAsia" w:asciiTheme="minorEastAsia" w:hAnsiTheme="minorEastAsia" w:eastAsiaTheme="minorEastAsia" w:cstheme="minorEastAsia"/>
                <w:b/>
                <w:bCs/>
                <w:color w:val="000000"/>
                <w:kern w:val="0"/>
                <w:sz w:val="24"/>
                <w:szCs w:val="24"/>
                <w:highlight w:val="none"/>
                <w:lang w:val="en-US" w:eastAsia="zh-CN"/>
              </w:rPr>
            </w:pPr>
            <w:r>
              <w:rPr>
                <w:rFonts w:hint="eastAsia" w:asciiTheme="minorEastAsia" w:hAnsiTheme="minorEastAsia" w:eastAsiaTheme="minorEastAsia" w:cstheme="minorEastAsia"/>
                <w:b/>
                <w:bCs/>
                <w:color w:val="000000"/>
                <w:kern w:val="0"/>
                <w:sz w:val="24"/>
                <w:szCs w:val="24"/>
                <w:highlight w:val="none"/>
                <w:lang w:val="en-US" w:eastAsia="zh-CN"/>
              </w:rPr>
              <w:t>单位</w:t>
            </w:r>
          </w:p>
        </w:tc>
        <w:tc>
          <w:tcPr>
            <w:tcW w:w="256" w:type="pct"/>
            <w:noWrap w:val="0"/>
            <w:vAlign w:val="center"/>
          </w:tcPr>
          <w:p w14:paraId="205A20FC">
            <w:pPr>
              <w:widowControl/>
              <w:ind w:left="0" w:leftChars="0" w:firstLine="0" w:firstLineChars="0"/>
              <w:jc w:val="center"/>
              <w:rPr>
                <w:rFonts w:hint="eastAsia" w:asciiTheme="minorEastAsia" w:hAnsiTheme="minorEastAsia" w:eastAsiaTheme="minorEastAsia" w:cstheme="minorEastAsia"/>
                <w:b/>
                <w:bCs/>
                <w:color w:val="000000"/>
                <w:kern w:val="0"/>
                <w:sz w:val="24"/>
                <w:szCs w:val="24"/>
                <w:highlight w:val="none"/>
                <w:lang w:val="en-US" w:eastAsia="zh-CN"/>
              </w:rPr>
            </w:pPr>
            <w:r>
              <w:rPr>
                <w:rFonts w:hint="eastAsia" w:asciiTheme="minorEastAsia" w:hAnsiTheme="minorEastAsia" w:eastAsiaTheme="minorEastAsia" w:cstheme="minorEastAsia"/>
                <w:b/>
                <w:bCs/>
                <w:color w:val="000000"/>
                <w:kern w:val="0"/>
                <w:sz w:val="24"/>
                <w:szCs w:val="24"/>
                <w:highlight w:val="none"/>
                <w:lang w:val="en-US" w:eastAsia="zh-CN"/>
              </w:rPr>
              <w:t>数量</w:t>
            </w:r>
          </w:p>
        </w:tc>
        <w:tc>
          <w:tcPr>
            <w:tcW w:w="455" w:type="pct"/>
            <w:noWrap w:val="0"/>
            <w:vAlign w:val="center"/>
          </w:tcPr>
          <w:p w14:paraId="58CE0369">
            <w:pPr>
              <w:widowControl/>
              <w:ind w:left="0" w:leftChars="0" w:firstLine="0" w:firstLineChars="0"/>
              <w:jc w:val="center"/>
              <w:rPr>
                <w:rFonts w:hint="eastAsia" w:asciiTheme="minorEastAsia" w:hAnsiTheme="minorEastAsia" w:eastAsiaTheme="minorEastAsia" w:cstheme="minorEastAsia"/>
                <w:b/>
                <w:bCs/>
                <w:color w:val="000000"/>
                <w:kern w:val="0"/>
                <w:sz w:val="24"/>
                <w:szCs w:val="24"/>
                <w:highlight w:val="none"/>
                <w:lang w:val="en-US" w:eastAsia="zh-CN"/>
              </w:rPr>
            </w:pPr>
            <w:r>
              <w:rPr>
                <w:rFonts w:hint="eastAsia" w:asciiTheme="minorEastAsia" w:hAnsiTheme="minorEastAsia" w:eastAsiaTheme="minorEastAsia" w:cstheme="minorEastAsia"/>
                <w:b/>
                <w:bCs/>
                <w:color w:val="000000"/>
                <w:kern w:val="0"/>
                <w:sz w:val="24"/>
                <w:szCs w:val="24"/>
                <w:highlight w:val="none"/>
                <w:lang w:val="en-US" w:eastAsia="zh-CN"/>
              </w:rPr>
              <w:t>交货日期</w:t>
            </w:r>
          </w:p>
        </w:tc>
        <w:tc>
          <w:tcPr>
            <w:tcW w:w="502" w:type="pct"/>
            <w:noWrap w:val="0"/>
            <w:vAlign w:val="center"/>
          </w:tcPr>
          <w:p w14:paraId="452E75F0">
            <w:pPr>
              <w:widowControl/>
              <w:ind w:left="0" w:leftChars="0" w:firstLine="0" w:firstLineChars="0"/>
              <w:jc w:val="center"/>
              <w:rPr>
                <w:rFonts w:hint="eastAsia" w:asciiTheme="minorEastAsia" w:hAnsiTheme="minorEastAsia" w:eastAsiaTheme="minorEastAsia" w:cstheme="minorEastAsia"/>
                <w:b/>
                <w:bCs/>
                <w:color w:val="000000"/>
                <w:kern w:val="0"/>
                <w:sz w:val="24"/>
                <w:szCs w:val="24"/>
                <w:highlight w:val="none"/>
                <w:lang w:val="en-US" w:eastAsia="zh-CN"/>
              </w:rPr>
            </w:pPr>
            <w:r>
              <w:rPr>
                <w:rFonts w:hint="eastAsia" w:asciiTheme="minorEastAsia" w:hAnsiTheme="minorEastAsia" w:eastAsiaTheme="minorEastAsia" w:cstheme="minorEastAsia"/>
                <w:b/>
                <w:bCs/>
                <w:color w:val="000000"/>
                <w:kern w:val="0"/>
                <w:sz w:val="24"/>
                <w:szCs w:val="24"/>
                <w:highlight w:val="none"/>
                <w:lang w:val="en-US" w:eastAsia="zh-CN"/>
              </w:rPr>
              <w:t>质保期（不低于）</w:t>
            </w:r>
          </w:p>
        </w:tc>
        <w:tc>
          <w:tcPr>
            <w:tcW w:w="446" w:type="pct"/>
            <w:noWrap w:val="0"/>
            <w:vAlign w:val="center"/>
          </w:tcPr>
          <w:p w14:paraId="256EC94F">
            <w:pPr>
              <w:widowControl/>
              <w:ind w:left="0" w:leftChars="0" w:firstLine="0" w:firstLineChars="0"/>
              <w:jc w:val="center"/>
              <w:rPr>
                <w:rFonts w:hint="eastAsia" w:asciiTheme="minorEastAsia" w:hAnsiTheme="minorEastAsia" w:eastAsiaTheme="minorEastAsia" w:cstheme="minorEastAsia"/>
                <w:b/>
                <w:bCs/>
                <w:color w:val="000000"/>
                <w:kern w:val="0"/>
                <w:sz w:val="24"/>
                <w:szCs w:val="24"/>
                <w:highlight w:val="none"/>
                <w:lang w:val="en-US" w:eastAsia="zh-CN"/>
              </w:rPr>
            </w:pPr>
            <w:r>
              <w:rPr>
                <w:rFonts w:hint="eastAsia" w:asciiTheme="minorEastAsia" w:hAnsiTheme="minorEastAsia" w:eastAsiaTheme="minorEastAsia" w:cstheme="minorEastAsia"/>
                <w:b/>
                <w:bCs/>
                <w:color w:val="000000"/>
                <w:kern w:val="0"/>
                <w:sz w:val="24"/>
                <w:szCs w:val="24"/>
                <w:highlight w:val="none"/>
                <w:lang w:val="en-US" w:eastAsia="zh-CN"/>
              </w:rPr>
              <w:t>交货地点</w:t>
            </w:r>
          </w:p>
        </w:tc>
        <w:tc>
          <w:tcPr>
            <w:tcW w:w="1012" w:type="pct"/>
            <w:noWrap w:val="0"/>
            <w:vAlign w:val="center"/>
          </w:tcPr>
          <w:p w14:paraId="0A3D660F">
            <w:pPr>
              <w:widowControl/>
              <w:ind w:left="0" w:leftChars="0" w:firstLine="0" w:firstLineChars="0"/>
              <w:jc w:val="center"/>
              <w:rPr>
                <w:rFonts w:hint="default" w:asciiTheme="minorEastAsia" w:hAnsiTheme="minorEastAsia" w:eastAsiaTheme="minorEastAsia" w:cstheme="minorEastAsia"/>
                <w:b/>
                <w:bCs/>
                <w:color w:val="000000"/>
                <w:kern w:val="0"/>
                <w:sz w:val="24"/>
                <w:szCs w:val="24"/>
                <w:highlight w:val="none"/>
                <w:lang w:val="en-US" w:eastAsia="zh-CN"/>
              </w:rPr>
            </w:pPr>
            <w:r>
              <w:rPr>
                <w:rFonts w:hint="eastAsia" w:asciiTheme="minorEastAsia" w:hAnsiTheme="minorEastAsia" w:eastAsiaTheme="minorEastAsia" w:cstheme="minorEastAsia"/>
                <w:b/>
                <w:bCs/>
                <w:color w:val="000000"/>
                <w:kern w:val="0"/>
                <w:sz w:val="24"/>
                <w:szCs w:val="24"/>
                <w:highlight w:val="none"/>
                <w:lang w:val="en-US" w:eastAsia="zh-CN"/>
              </w:rPr>
              <w:t>专用业绩要求</w:t>
            </w:r>
          </w:p>
        </w:tc>
      </w:tr>
      <w:tr w14:paraId="5E9A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3" w:type="pct"/>
            <w:noWrap w:val="0"/>
            <w:vAlign w:val="center"/>
          </w:tcPr>
          <w:p w14:paraId="49926456">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1</w:t>
            </w:r>
          </w:p>
        </w:tc>
        <w:tc>
          <w:tcPr>
            <w:tcW w:w="377" w:type="pct"/>
            <w:noWrap w:val="0"/>
            <w:vAlign w:val="center"/>
          </w:tcPr>
          <w:p w14:paraId="68BB4846">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数据通信模拟组件</w:t>
            </w:r>
          </w:p>
        </w:tc>
        <w:tc>
          <w:tcPr>
            <w:tcW w:w="1388" w:type="pct"/>
            <w:noWrap w:val="0"/>
            <w:vAlign w:val="center"/>
          </w:tcPr>
          <w:p w14:paraId="2E40E2E8">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双主工作模式，通过调度数据网连接调度，连接调度端的数量10，与各调度端的通信规约DL/T 634.5 104规约、IEC 60870 5 101、DL/T 476规约，串口数量不低于6个。</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处理器字长≥  32 位</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处理器个数≥ 1路（多核）</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主频≥  512 MHz</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内存容量≥ 512 MB</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以太网口数量≥ 6个</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以太网口速率≥100M</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数据远传要求如下：</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a) 应支持向主站传输站内调控实时数据、保护信息、一二次设备状态监测信息等各类数据；</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b) 应支持与不同主站通信时实时转发库的独立性；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c) 对于 DL/T 634.5104 服务端同一端口号，当同一 IP 地址的客户端发起新的链接请求时，应能正确关闭原有链路，释放相关 Socket 链接资源，重新响应新的链接请求；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d) 对未配置的主站 IP 地址发来的链路请求应拒绝响应。</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远方控制功能要求如下：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a) 应支持主站遥控、遥调和设点、定值操作等远方控制；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b) 同一时间应只支持一个遥控操作任务，对另外的操作指令应作失败应答；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c) 装置重启、复归和切换时，不应重发、误发控制命令。</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时间同步功能包括对时功能与时间同步状态在线监测功能要求如下：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a) 应支持 IRIG-B 码或 SNTP 对时方式；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b) 应支持时间同步管理状态自检信息输出功能，自检信息应包括对时信号状态、对时服务状态和时间跳变侦测状态； </w:t>
            </w:r>
          </w:p>
        </w:tc>
        <w:tc>
          <w:tcPr>
            <w:tcW w:w="307" w:type="pct"/>
            <w:noWrap w:val="0"/>
            <w:vAlign w:val="center"/>
          </w:tcPr>
          <w:p w14:paraId="752737F7">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256" w:type="pct"/>
            <w:noWrap w:val="0"/>
            <w:vAlign w:val="center"/>
          </w:tcPr>
          <w:p w14:paraId="5513FC55">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455" w:type="pct"/>
            <w:noWrap w:val="0"/>
            <w:vAlign w:val="center"/>
          </w:tcPr>
          <w:p w14:paraId="4BF91EFA">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日内</w:t>
            </w:r>
          </w:p>
        </w:tc>
        <w:tc>
          <w:tcPr>
            <w:tcW w:w="502" w:type="pct"/>
            <w:noWrap w:val="0"/>
            <w:vAlign w:val="center"/>
          </w:tcPr>
          <w:p w14:paraId="3616FF4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446" w:type="pct"/>
            <w:noWrap w:val="0"/>
            <w:vAlign w:val="center"/>
          </w:tcPr>
          <w:p w14:paraId="50B94BBD">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买方指定地点</w:t>
            </w:r>
          </w:p>
        </w:tc>
        <w:tc>
          <w:tcPr>
            <w:tcW w:w="1012" w:type="pct"/>
            <w:vMerge w:val="restart"/>
            <w:noWrap w:val="0"/>
            <w:vAlign w:val="center"/>
          </w:tcPr>
          <w:p w14:paraId="120F923A">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业绩要求：</w:t>
            </w:r>
            <w:r>
              <w:rPr>
                <w:rFonts w:hint="eastAsia" w:asciiTheme="minorEastAsia" w:hAnsiTheme="minorEastAsia" w:eastAsiaTheme="minorEastAsia" w:cstheme="minorEastAsia"/>
                <w:bCs w:val="0"/>
                <w:color w:val="000000" w:themeColor="text1"/>
                <w:kern w:val="0"/>
                <w:sz w:val="24"/>
                <w:szCs w:val="24"/>
                <w:highlight w:val="none"/>
                <w:lang w:val="en-US" w:eastAsia="zh-CN" w:bidi="ar-SA"/>
                <w14:textFill>
                  <w14:solidFill>
                    <w14:schemeClr w14:val="tx1"/>
                  </w14:solidFill>
                </w14:textFill>
              </w:rPr>
              <w:t>2022年1月1日至投标截止日内，完成仿真设备或信息化设备相类似业绩不少于1份，累计金额不低于 150万元。注:业绩必须提供对应的合同复印件、发票和相应查验截图。</w:t>
            </w:r>
          </w:p>
        </w:tc>
      </w:tr>
      <w:tr w14:paraId="58C9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53" w:type="pct"/>
            <w:noWrap w:val="0"/>
            <w:vAlign w:val="center"/>
          </w:tcPr>
          <w:p w14:paraId="2C45D310">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2</w:t>
            </w:r>
          </w:p>
        </w:tc>
        <w:tc>
          <w:tcPr>
            <w:tcW w:w="377" w:type="pct"/>
            <w:noWrap w:val="0"/>
            <w:vAlign w:val="center"/>
          </w:tcPr>
          <w:p w14:paraId="4EF35305">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数据通信模拟组件装置柜</w:t>
            </w:r>
          </w:p>
        </w:tc>
        <w:tc>
          <w:tcPr>
            <w:tcW w:w="1388" w:type="pct"/>
            <w:noWrap w:val="0"/>
            <w:vAlign w:val="center"/>
          </w:tcPr>
          <w:p w14:paraId="63DF80C8">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2260×1000×600(高×宽×深)mm</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屏柜颜色按实际供货</w:t>
            </w:r>
          </w:p>
        </w:tc>
        <w:tc>
          <w:tcPr>
            <w:tcW w:w="307" w:type="pct"/>
            <w:noWrap w:val="0"/>
            <w:vAlign w:val="center"/>
          </w:tcPr>
          <w:p w14:paraId="3BE53CB8">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面</w:t>
            </w:r>
          </w:p>
        </w:tc>
        <w:tc>
          <w:tcPr>
            <w:tcW w:w="256" w:type="pct"/>
            <w:noWrap w:val="0"/>
            <w:vAlign w:val="center"/>
          </w:tcPr>
          <w:p w14:paraId="0D3AD2F0">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455" w:type="pct"/>
            <w:noWrap w:val="0"/>
            <w:vAlign w:val="center"/>
          </w:tcPr>
          <w:p w14:paraId="12DC77D1">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日内</w:t>
            </w:r>
          </w:p>
        </w:tc>
        <w:tc>
          <w:tcPr>
            <w:tcW w:w="502" w:type="pct"/>
            <w:noWrap w:val="0"/>
            <w:vAlign w:val="center"/>
          </w:tcPr>
          <w:p w14:paraId="2103DBC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446" w:type="pct"/>
            <w:noWrap w:val="0"/>
            <w:vAlign w:val="center"/>
          </w:tcPr>
          <w:p w14:paraId="3CC98693">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买方指定地点</w:t>
            </w:r>
          </w:p>
        </w:tc>
        <w:tc>
          <w:tcPr>
            <w:tcW w:w="1012" w:type="pct"/>
            <w:vMerge w:val="continue"/>
            <w:noWrap w:val="0"/>
            <w:vAlign w:val="center"/>
          </w:tcPr>
          <w:p w14:paraId="4F6A6696">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2D2B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53" w:type="pct"/>
            <w:noWrap w:val="0"/>
            <w:vAlign w:val="center"/>
          </w:tcPr>
          <w:p w14:paraId="17564E64">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3</w:t>
            </w:r>
          </w:p>
        </w:tc>
        <w:tc>
          <w:tcPr>
            <w:tcW w:w="377" w:type="pct"/>
            <w:noWrap w:val="0"/>
            <w:vAlign w:val="center"/>
          </w:tcPr>
          <w:p w14:paraId="7CC304BF">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站控层信息交换模组</w:t>
            </w:r>
          </w:p>
        </w:tc>
        <w:tc>
          <w:tcPr>
            <w:tcW w:w="1388" w:type="pct"/>
            <w:noWrap w:val="0"/>
            <w:vAlign w:val="center"/>
          </w:tcPr>
          <w:p w14:paraId="3BC6C7EE">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结构要求：标准19英寸机架式</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温度范围：-40℃~+70℃</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工作电源：交流电源：AC 220V±20%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直流电源：DC220V</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要求交直流双电源冗余</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整机功耗：≤50W（最大配置）</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光接口要求：100M SFP接口光口需提供工业级SFP光模块，数量不小于16个</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交换模式：存储转发模式</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VLAN：支持4094个并发VLAN</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支持8K MAC地址转发</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以太网：支持基本VLAN，支持Access 和Trunk 两种VLAN 接口模式</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支持接口镜像</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1.端口转发速率。在满负荷下，仿真信息交换模块可以正确转发帧的速率，转发速率应等于端口线速。</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2.地址缓存能力。仿真信息交换模块MAC地址缓存能力不应低于4096个。</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3.存储转发时延。仿真信息交换模块一对端口线速转发下的平均时延应小于10µs。仿真信息交换模块启用交换延时累加功能后存储转发延时应小于20µs。</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4.帧丢失率。仿真信息交换模块在端口线速转发时，帧丢失率应为0。</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5.网络风暴抑制值。仿真信息交换模块网络风暴实际抑制结果不应超过抑制设定值的110％。</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6.组播。仿真信息交换模块支持的静态组播组数量不应少于512个，动态组播数量不少于256个。</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7.时间同步准确度。SNTP时间同步准确度应优于10ms。</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仿真信息交换模块EMC等级要求符合下表中要求：静电放电抗扰度（4级）；辐射电磁场抗扰度（3级）；电快速瞬变脉冲群抗扰度（4级）；浪涌（冲击）抗扰度（3级）；射频场感应的传导骚扰抗扰度（3级）；工频磁场抗扰度（5级）；阻尼振荡磁场抗扰度（5级）；阻尼振荡波抗扰度（3级）；0Hz～150kHz共模传导骚扰抗扰度（4级）；直流电源暂降、暂时中断抗扰度（100ms）。</w:t>
            </w:r>
          </w:p>
        </w:tc>
        <w:tc>
          <w:tcPr>
            <w:tcW w:w="307" w:type="pct"/>
            <w:noWrap w:val="0"/>
            <w:vAlign w:val="center"/>
          </w:tcPr>
          <w:p w14:paraId="6AA61F79">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256" w:type="pct"/>
            <w:noWrap w:val="0"/>
            <w:vAlign w:val="center"/>
          </w:tcPr>
          <w:p w14:paraId="54CED3CF">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9</w:t>
            </w:r>
          </w:p>
        </w:tc>
        <w:tc>
          <w:tcPr>
            <w:tcW w:w="455" w:type="pct"/>
            <w:noWrap w:val="0"/>
            <w:vAlign w:val="center"/>
          </w:tcPr>
          <w:p w14:paraId="4B60EF30">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日内</w:t>
            </w:r>
          </w:p>
        </w:tc>
        <w:tc>
          <w:tcPr>
            <w:tcW w:w="502" w:type="pct"/>
            <w:noWrap w:val="0"/>
            <w:vAlign w:val="center"/>
          </w:tcPr>
          <w:p w14:paraId="2EEB439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446" w:type="pct"/>
            <w:noWrap w:val="0"/>
            <w:vAlign w:val="center"/>
          </w:tcPr>
          <w:p w14:paraId="3F5FA356">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买方指定地点</w:t>
            </w:r>
          </w:p>
        </w:tc>
        <w:tc>
          <w:tcPr>
            <w:tcW w:w="1012" w:type="pct"/>
            <w:vMerge w:val="continue"/>
            <w:noWrap w:val="0"/>
            <w:vAlign w:val="center"/>
          </w:tcPr>
          <w:p w14:paraId="6D16A00F">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211F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53" w:type="pct"/>
            <w:noWrap w:val="0"/>
            <w:vAlign w:val="center"/>
          </w:tcPr>
          <w:p w14:paraId="3D341FB2">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4</w:t>
            </w:r>
          </w:p>
        </w:tc>
        <w:tc>
          <w:tcPr>
            <w:tcW w:w="377" w:type="pct"/>
            <w:noWrap w:val="0"/>
            <w:vAlign w:val="center"/>
          </w:tcPr>
          <w:p w14:paraId="57B7DB67">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主变综合测量控制实训装置柜</w:t>
            </w:r>
          </w:p>
        </w:tc>
        <w:tc>
          <w:tcPr>
            <w:tcW w:w="1388" w:type="pct"/>
            <w:noWrap w:val="0"/>
            <w:vAlign w:val="center"/>
          </w:tcPr>
          <w:p w14:paraId="1BBAB2BA">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2260×800×600(高×宽×深)mm</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屏柜颜色按实际供货</w:t>
            </w:r>
          </w:p>
        </w:tc>
        <w:tc>
          <w:tcPr>
            <w:tcW w:w="307" w:type="pct"/>
            <w:noWrap w:val="0"/>
            <w:vAlign w:val="center"/>
          </w:tcPr>
          <w:p w14:paraId="156E158C">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面</w:t>
            </w:r>
          </w:p>
        </w:tc>
        <w:tc>
          <w:tcPr>
            <w:tcW w:w="256" w:type="pct"/>
            <w:noWrap w:val="0"/>
            <w:vAlign w:val="center"/>
          </w:tcPr>
          <w:p w14:paraId="4D9C73BB">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455" w:type="pct"/>
            <w:noWrap w:val="0"/>
            <w:vAlign w:val="center"/>
          </w:tcPr>
          <w:p w14:paraId="2F3CCC2B">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日内</w:t>
            </w:r>
          </w:p>
        </w:tc>
        <w:tc>
          <w:tcPr>
            <w:tcW w:w="502" w:type="pct"/>
            <w:noWrap w:val="0"/>
            <w:vAlign w:val="center"/>
          </w:tcPr>
          <w:p w14:paraId="2C4F6DC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446" w:type="pct"/>
            <w:noWrap w:val="0"/>
            <w:vAlign w:val="center"/>
          </w:tcPr>
          <w:p w14:paraId="64E64B89">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买方指定地点</w:t>
            </w:r>
          </w:p>
        </w:tc>
        <w:tc>
          <w:tcPr>
            <w:tcW w:w="1012" w:type="pct"/>
            <w:vMerge w:val="continue"/>
            <w:noWrap w:val="0"/>
            <w:vAlign w:val="center"/>
          </w:tcPr>
          <w:p w14:paraId="2FF5B3C6">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0FC6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53" w:type="pct"/>
            <w:noWrap w:val="0"/>
            <w:vAlign w:val="center"/>
          </w:tcPr>
          <w:p w14:paraId="2767BED2">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5</w:t>
            </w:r>
          </w:p>
        </w:tc>
        <w:tc>
          <w:tcPr>
            <w:tcW w:w="377" w:type="pct"/>
            <w:noWrap w:val="0"/>
            <w:vAlign w:val="center"/>
          </w:tcPr>
          <w:p w14:paraId="3DC2F37F">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220kV综合测量控制实训装置柜</w:t>
            </w:r>
          </w:p>
        </w:tc>
        <w:tc>
          <w:tcPr>
            <w:tcW w:w="1388" w:type="pct"/>
            <w:noWrap w:val="0"/>
            <w:vAlign w:val="center"/>
          </w:tcPr>
          <w:p w14:paraId="15E7967F">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2260×800×600(高×宽×深)mm，柜净高2200mm，门楣高60mm或2260×600×600(高×宽×深)mm，柜净高2200mm，门楣高60mm</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屏柜颜色及压板按实际供货</w:t>
            </w:r>
          </w:p>
        </w:tc>
        <w:tc>
          <w:tcPr>
            <w:tcW w:w="307" w:type="pct"/>
            <w:noWrap w:val="0"/>
            <w:vAlign w:val="center"/>
          </w:tcPr>
          <w:p w14:paraId="3EE1401B">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面</w:t>
            </w:r>
          </w:p>
        </w:tc>
        <w:tc>
          <w:tcPr>
            <w:tcW w:w="256" w:type="pct"/>
            <w:noWrap w:val="0"/>
            <w:vAlign w:val="center"/>
          </w:tcPr>
          <w:p w14:paraId="21E8986A">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455" w:type="pct"/>
            <w:noWrap w:val="0"/>
            <w:vAlign w:val="center"/>
          </w:tcPr>
          <w:p w14:paraId="21419E1D">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日内</w:t>
            </w:r>
          </w:p>
        </w:tc>
        <w:tc>
          <w:tcPr>
            <w:tcW w:w="502" w:type="pct"/>
            <w:noWrap w:val="0"/>
            <w:vAlign w:val="center"/>
          </w:tcPr>
          <w:p w14:paraId="2494A5D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446" w:type="pct"/>
            <w:noWrap w:val="0"/>
            <w:vAlign w:val="center"/>
          </w:tcPr>
          <w:p w14:paraId="7E6DFEE8">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买方指定地点</w:t>
            </w:r>
          </w:p>
        </w:tc>
        <w:tc>
          <w:tcPr>
            <w:tcW w:w="1012" w:type="pct"/>
            <w:vMerge w:val="continue"/>
            <w:noWrap w:val="0"/>
            <w:vAlign w:val="center"/>
          </w:tcPr>
          <w:p w14:paraId="7BE6480F">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7FA9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53" w:type="pct"/>
            <w:noWrap w:val="0"/>
            <w:vAlign w:val="center"/>
          </w:tcPr>
          <w:p w14:paraId="7DBDBEC6">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6</w:t>
            </w:r>
          </w:p>
        </w:tc>
        <w:tc>
          <w:tcPr>
            <w:tcW w:w="377" w:type="pct"/>
            <w:noWrap w:val="0"/>
            <w:vAlign w:val="center"/>
          </w:tcPr>
          <w:p w14:paraId="76C9C48B">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综合测量控制实训模组</w:t>
            </w:r>
          </w:p>
        </w:tc>
        <w:tc>
          <w:tcPr>
            <w:tcW w:w="1388" w:type="pct"/>
            <w:noWrap w:val="0"/>
            <w:vAlign w:val="center"/>
          </w:tcPr>
          <w:p w14:paraId="29B400C6">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装置能够实现本间隔的测控功能，如交流采样、状态信号采集、同期操作、刀闸控制、全站防误闭锁等功能。</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装置即支持模拟量采样，又支持数字采样。数字量输入接口协议为IEC61850-9-2，接口数量满足与多个MU 直接连接的需要。</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装置跳合闸命令和其它信号输出，既支持传统硬接点方式，也支持GOOSE 输出方式。</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完善的对时和守时功能，支持IRIG-B 码对时、支持IEC61588 对时，采用高精度温补晶振，支持长时间高精度守时。</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站控层采用双百兆光纤以太网或电口以太网，支持VLAN，支持IEC61580 标准。</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过程层支持光纤点对点和组网方式，支持1IEC61850-9-2 标准和GOOSE 协议。</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全站逻辑闭锁功能。各出口对象具有独立的逻辑闭锁接点输出，全站数据共享，实现全站控制操作的逻辑闭锁。</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电网谐波监视功能。监视电压2～13 次谐波含有率HRUk 和电流2～13 次谐波含有率HRIk。</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断路器同期合闸功能，支持断路器的差频合闸、同频合闸和无压合闸功能，支持同期点两侧电压的幅值补偿和相角补偿功能。</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完善的装置自检策略。</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友好的人机界面。</w:t>
            </w:r>
          </w:p>
        </w:tc>
        <w:tc>
          <w:tcPr>
            <w:tcW w:w="307" w:type="pct"/>
            <w:noWrap w:val="0"/>
            <w:vAlign w:val="center"/>
          </w:tcPr>
          <w:p w14:paraId="4AF9FCD1">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256" w:type="pct"/>
            <w:noWrap w:val="0"/>
            <w:vAlign w:val="center"/>
          </w:tcPr>
          <w:p w14:paraId="178B6712">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27</w:t>
            </w:r>
          </w:p>
        </w:tc>
        <w:tc>
          <w:tcPr>
            <w:tcW w:w="455" w:type="pct"/>
            <w:noWrap w:val="0"/>
            <w:vAlign w:val="center"/>
          </w:tcPr>
          <w:p w14:paraId="2A13C13D">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日内</w:t>
            </w:r>
          </w:p>
        </w:tc>
        <w:tc>
          <w:tcPr>
            <w:tcW w:w="502" w:type="pct"/>
            <w:noWrap w:val="0"/>
            <w:vAlign w:val="center"/>
          </w:tcPr>
          <w:p w14:paraId="082286A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446" w:type="pct"/>
            <w:noWrap w:val="0"/>
            <w:vAlign w:val="center"/>
          </w:tcPr>
          <w:p w14:paraId="0BAA1A19">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买方指定地点</w:t>
            </w:r>
          </w:p>
        </w:tc>
        <w:tc>
          <w:tcPr>
            <w:tcW w:w="1012" w:type="pct"/>
            <w:vMerge w:val="continue"/>
            <w:noWrap w:val="0"/>
            <w:vAlign w:val="center"/>
          </w:tcPr>
          <w:p w14:paraId="3FB976CA">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1932A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53" w:type="pct"/>
            <w:noWrap w:val="0"/>
            <w:vAlign w:val="center"/>
          </w:tcPr>
          <w:p w14:paraId="66888483">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7</w:t>
            </w:r>
          </w:p>
        </w:tc>
        <w:tc>
          <w:tcPr>
            <w:tcW w:w="377" w:type="pct"/>
            <w:noWrap w:val="0"/>
            <w:vAlign w:val="center"/>
          </w:tcPr>
          <w:p w14:paraId="203F5F43">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110kV综合测量控制实训装置柜</w:t>
            </w:r>
          </w:p>
        </w:tc>
        <w:tc>
          <w:tcPr>
            <w:tcW w:w="1388" w:type="pct"/>
            <w:noWrap w:val="0"/>
            <w:vAlign w:val="center"/>
          </w:tcPr>
          <w:p w14:paraId="6432690D">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2260×800×600(高×宽×深)mm，柜净高2200mm，门楣高60mm或2260×600×600(高×宽×深)mm，柜净高2200mm，门楣高60mm</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屏柜颜色及压板按实际供货</w:t>
            </w:r>
          </w:p>
        </w:tc>
        <w:tc>
          <w:tcPr>
            <w:tcW w:w="307" w:type="pct"/>
            <w:noWrap w:val="0"/>
            <w:vAlign w:val="center"/>
          </w:tcPr>
          <w:p w14:paraId="77E1EEFC">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面</w:t>
            </w:r>
          </w:p>
        </w:tc>
        <w:tc>
          <w:tcPr>
            <w:tcW w:w="256" w:type="pct"/>
            <w:noWrap w:val="0"/>
            <w:vAlign w:val="center"/>
          </w:tcPr>
          <w:p w14:paraId="4CB99DC8">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455" w:type="pct"/>
            <w:noWrap w:val="0"/>
            <w:vAlign w:val="center"/>
          </w:tcPr>
          <w:p w14:paraId="28D119F1">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日内</w:t>
            </w:r>
          </w:p>
        </w:tc>
        <w:tc>
          <w:tcPr>
            <w:tcW w:w="502" w:type="pct"/>
            <w:noWrap w:val="0"/>
            <w:vAlign w:val="center"/>
          </w:tcPr>
          <w:p w14:paraId="1431D8E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446" w:type="pct"/>
            <w:noWrap w:val="0"/>
            <w:vAlign w:val="center"/>
          </w:tcPr>
          <w:p w14:paraId="69C78167">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买方指定地点</w:t>
            </w:r>
          </w:p>
        </w:tc>
        <w:tc>
          <w:tcPr>
            <w:tcW w:w="1012" w:type="pct"/>
            <w:vMerge w:val="continue"/>
            <w:noWrap w:val="0"/>
            <w:vAlign w:val="center"/>
          </w:tcPr>
          <w:p w14:paraId="0ABFAB6D">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208B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53" w:type="pct"/>
            <w:noWrap w:val="0"/>
            <w:vAlign w:val="center"/>
          </w:tcPr>
          <w:p w14:paraId="28304B36">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8</w:t>
            </w:r>
          </w:p>
        </w:tc>
        <w:tc>
          <w:tcPr>
            <w:tcW w:w="377" w:type="pct"/>
            <w:noWrap w:val="0"/>
            <w:vAlign w:val="center"/>
          </w:tcPr>
          <w:p w14:paraId="04E02C7A">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35kV综合测量控制实训装置柜</w:t>
            </w:r>
          </w:p>
        </w:tc>
        <w:tc>
          <w:tcPr>
            <w:tcW w:w="1388" w:type="pct"/>
            <w:noWrap w:val="0"/>
            <w:vAlign w:val="center"/>
          </w:tcPr>
          <w:p w14:paraId="5C26EE1E">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2260×800×600(高×宽×深)mm，柜净高2200mm，门楣高60mm或2260×600×600(高×宽×深)mm，柜净高2200mm，门楣高60mm</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屏柜颜色及压板按实际供货</w:t>
            </w:r>
          </w:p>
        </w:tc>
        <w:tc>
          <w:tcPr>
            <w:tcW w:w="307" w:type="pct"/>
            <w:noWrap w:val="0"/>
            <w:vAlign w:val="center"/>
          </w:tcPr>
          <w:p w14:paraId="064D4FED">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面</w:t>
            </w:r>
          </w:p>
        </w:tc>
        <w:tc>
          <w:tcPr>
            <w:tcW w:w="256" w:type="pct"/>
            <w:noWrap w:val="0"/>
            <w:vAlign w:val="center"/>
          </w:tcPr>
          <w:p w14:paraId="277E92C5">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455" w:type="pct"/>
            <w:noWrap w:val="0"/>
            <w:vAlign w:val="center"/>
          </w:tcPr>
          <w:p w14:paraId="58F46135">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日内</w:t>
            </w:r>
          </w:p>
        </w:tc>
        <w:tc>
          <w:tcPr>
            <w:tcW w:w="502" w:type="pct"/>
            <w:noWrap w:val="0"/>
            <w:vAlign w:val="center"/>
          </w:tcPr>
          <w:p w14:paraId="6A6FC25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446" w:type="pct"/>
            <w:noWrap w:val="0"/>
            <w:vAlign w:val="center"/>
          </w:tcPr>
          <w:p w14:paraId="251FD801">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买方指定地点</w:t>
            </w:r>
          </w:p>
        </w:tc>
        <w:tc>
          <w:tcPr>
            <w:tcW w:w="1012" w:type="pct"/>
            <w:vMerge w:val="continue"/>
            <w:noWrap w:val="0"/>
            <w:vAlign w:val="center"/>
          </w:tcPr>
          <w:p w14:paraId="270C5242">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19DF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253" w:type="pct"/>
            <w:noWrap w:val="0"/>
            <w:vAlign w:val="center"/>
          </w:tcPr>
          <w:p w14:paraId="7BCF05E6">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9</w:t>
            </w:r>
          </w:p>
        </w:tc>
        <w:tc>
          <w:tcPr>
            <w:tcW w:w="377" w:type="pct"/>
            <w:noWrap w:val="0"/>
            <w:vAlign w:val="center"/>
          </w:tcPr>
          <w:p w14:paraId="4913AE4A">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35kV综合测量控制实训模组</w:t>
            </w:r>
          </w:p>
        </w:tc>
        <w:tc>
          <w:tcPr>
            <w:tcW w:w="1388" w:type="pct"/>
            <w:noWrap w:val="0"/>
            <w:vAlign w:val="center"/>
          </w:tcPr>
          <w:p w14:paraId="6E092AB6">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装置能够实现本间隔的测控功能，如交流采样、状态信号采集、刀闸控制功能。</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装置可支持模拟量采样、或数字采样。数字量输入接口协议为IEC61850-9-2，接口数量满</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足与多个MU 直接连接的需要。装置跳合闸命令和其它信号输出，既支持传统硬接点方式，也支持GOOSE 输出方式。</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完善的对时和守时功能，支持IRIG-B 码对时。</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站控层采用双百兆光纤以太网或电口以太网，支持VLAN，支持IEC61580 标准。</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过程层支持光纤点对点和组网方式，支持IEC61850-9-2 标准和GOOSE 协议。</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三相操作板/箱：应具有一组三相跳闸回路及合闸回路;跳闸应具有自保持回路;应具有手跳和手合输入回路;应具有防跳回路,防跳回路应能够方便地取消;应分别具有跳合闸监视回路;应具有足够的输出接点供闭锁重合闸和发中央信号、远动信号和事件记录。</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完善的装置自检策略。</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友好的人机界面。</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应具备三段相间距离保护、三段过电流保护；应配有重合闸功能、低频减载、低压减载，TV断线、过负荷告警功能，装置应带有跳合闸操作回路。</w:t>
            </w:r>
          </w:p>
        </w:tc>
        <w:tc>
          <w:tcPr>
            <w:tcW w:w="307" w:type="pct"/>
            <w:noWrap w:val="0"/>
            <w:vAlign w:val="center"/>
          </w:tcPr>
          <w:p w14:paraId="4D61D24D">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256" w:type="pct"/>
            <w:noWrap w:val="0"/>
            <w:vAlign w:val="center"/>
          </w:tcPr>
          <w:p w14:paraId="61D0A56A">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455" w:type="pct"/>
            <w:noWrap w:val="0"/>
            <w:vAlign w:val="center"/>
          </w:tcPr>
          <w:p w14:paraId="0051AFD9">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日内</w:t>
            </w:r>
          </w:p>
        </w:tc>
        <w:tc>
          <w:tcPr>
            <w:tcW w:w="502" w:type="pct"/>
            <w:noWrap w:val="0"/>
            <w:vAlign w:val="center"/>
          </w:tcPr>
          <w:p w14:paraId="6BCF09B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446" w:type="pct"/>
            <w:noWrap w:val="0"/>
            <w:vAlign w:val="center"/>
          </w:tcPr>
          <w:p w14:paraId="63BA2B63">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买方指定地点</w:t>
            </w:r>
          </w:p>
        </w:tc>
        <w:tc>
          <w:tcPr>
            <w:tcW w:w="1012" w:type="pct"/>
            <w:vMerge w:val="continue"/>
            <w:noWrap w:val="0"/>
            <w:vAlign w:val="center"/>
          </w:tcPr>
          <w:p w14:paraId="0388DD81">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2091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253" w:type="pct"/>
            <w:noWrap w:val="0"/>
            <w:vAlign w:val="center"/>
          </w:tcPr>
          <w:p w14:paraId="7FA6CFD7">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10</w:t>
            </w:r>
          </w:p>
        </w:tc>
        <w:tc>
          <w:tcPr>
            <w:tcW w:w="377" w:type="pct"/>
            <w:noWrap w:val="0"/>
            <w:vAlign w:val="center"/>
          </w:tcPr>
          <w:p w14:paraId="51A25A2F">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220kV模拟断路器实训模组</w:t>
            </w:r>
          </w:p>
        </w:tc>
        <w:tc>
          <w:tcPr>
            <w:tcW w:w="1388" w:type="pct"/>
            <w:noWrap w:val="0"/>
            <w:vAlign w:val="center"/>
          </w:tcPr>
          <w:p w14:paraId="254955DD">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1)模拟断路器的操作电源为DC220V或110V。工作电源应分开成双电源输入，合闸与主分闸回路接第一组操作电源，副分闸回路接第二组操作电源。</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2)模拟断路器能够与保护的操作箱配合，跳闸、合闸电流可选0.25A、0.5A、1A、2A，保证两者跳闸、合闸电流匹配。</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3)因实际断路器本身合闸、跳闸存在一定延时，模拟断路器也应设计合闸、跳闸延时，延时在30~200ms之间可整定。</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4)可与仿真设备和外部保护屏柜操作箱配合，实现合位、跳位监视。</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5)模拟断路器本体应设计防跳功能，并配置该功能投退连接端子或压板，以便投退。</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6)模拟断路器面板上应设有三合、三跳操作按钮或把手，以模拟断路器就地分合闸功能。</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7)模拟断路器应具备模拟SF6压力异常禁止操作和弹簧未储能的手动操作按钮或把手，在模拟机构异常情况下应能闭锁断路器合闸、跳闸。</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8)断路器的辅助接点应以无源空节点形式送出。每台模拟断路器每相可送出不低于8组辅助接点，其中常开辅助接点不低于4组，常闭辅助接点不低于4组。</w:t>
            </w:r>
          </w:p>
        </w:tc>
        <w:tc>
          <w:tcPr>
            <w:tcW w:w="307" w:type="pct"/>
            <w:noWrap w:val="0"/>
            <w:vAlign w:val="center"/>
          </w:tcPr>
          <w:p w14:paraId="51F0391D">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256" w:type="pct"/>
            <w:noWrap w:val="0"/>
            <w:vAlign w:val="center"/>
          </w:tcPr>
          <w:p w14:paraId="6158C4FE">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455" w:type="pct"/>
            <w:noWrap w:val="0"/>
            <w:vAlign w:val="center"/>
          </w:tcPr>
          <w:p w14:paraId="28974A3A">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日内</w:t>
            </w:r>
          </w:p>
        </w:tc>
        <w:tc>
          <w:tcPr>
            <w:tcW w:w="502" w:type="pct"/>
            <w:noWrap w:val="0"/>
            <w:vAlign w:val="center"/>
          </w:tcPr>
          <w:p w14:paraId="51263DE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446" w:type="pct"/>
            <w:noWrap w:val="0"/>
            <w:vAlign w:val="center"/>
          </w:tcPr>
          <w:p w14:paraId="448A79F6">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买方指定地点</w:t>
            </w:r>
          </w:p>
        </w:tc>
        <w:tc>
          <w:tcPr>
            <w:tcW w:w="1012" w:type="pct"/>
            <w:vMerge w:val="continue"/>
            <w:noWrap w:val="0"/>
            <w:vAlign w:val="center"/>
          </w:tcPr>
          <w:p w14:paraId="0F69C383">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07B0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53" w:type="pct"/>
            <w:noWrap w:val="0"/>
            <w:vAlign w:val="center"/>
          </w:tcPr>
          <w:p w14:paraId="02B22D5A">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11</w:t>
            </w:r>
          </w:p>
        </w:tc>
        <w:tc>
          <w:tcPr>
            <w:tcW w:w="377" w:type="pct"/>
            <w:noWrap w:val="0"/>
            <w:vAlign w:val="center"/>
          </w:tcPr>
          <w:p w14:paraId="09E38F39">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220kV模拟刀闸实训模组</w:t>
            </w:r>
          </w:p>
        </w:tc>
        <w:tc>
          <w:tcPr>
            <w:tcW w:w="1388" w:type="pct"/>
            <w:noWrap w:val="0"/>
            <w:vAlign w:val="center"/>
          </w:tcPr>
          <w:p w14:paraId="265F2294">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1)每一组刀闸应配置独立的合闸、分闸线圈，操作之后刀闸状态应能自保持，再次进行不同的操作时，状态才会改变。</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2)模拟刀闸装置应配置刀闸合闸、分闸操作按钮，手动合闸、分闸等操作都可以在前面板上进行，独立实验分合闸功能。</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3)模拟刀闸装置应配置刀闸位置指示灯，以便实现刀闸位置就地监视，合闸位置时指示灯宜为红色，分闸位置时指示灯宜为绿色。</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4)模拟刀闸就地操作的功能均可以由远方控制。</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5)模拟刀闸应具备模拟电机电源异常禁止操作手动操作按钮或把手，在模拟机构异常情况下应能闭锁刀闸分合。</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6)模拟刀闸的辅助节点应以无源空节点形式送出。每个刀闸可送出5组常开接点，3组常闭接点。</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7)模拟刀闸具备初始工况对位功能，可通过高速通信协议以光纤通讯的方式接收仿真系统下发的控制命令，上送装置的工作状态、位置信号等。</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8)硬件结构采用模块化设计，可通过插件实现即插即用，并可根据需要与断路器组合安装，部署于智能终端屏内。</w:t>
            </w:r>
          </w:p>
        </w:tc>
        <w:tc>
          <w:tcPr>
            <w:tcW w:w="307" w:type="pct"/>
            <w:noWrap w:val="0"/>
            <w:vAlign w:val="center"/>
          </w:tcPr>
          <w:p w14:paraId="35E2444A">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256" w:type="pct"/>
            <w:noWrap w:val="0"/>
            <w:vAlign w:val="center"/>
          </w:tcPr>
          <w:p w14:paraId="62D94FBD">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455" w:type="pct"/>
            <w:noWrap w:val="0"/>
            <w:vAlign w:val="center"/>
          </w:tcPr>
          <w:p w14:paraId="189F981C">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日内</w:t>
            </w:r>
          </w:p>
        </w:tc>
        <w:tc>
          <w:tcPr>
            <w:tcW w:w="502" w:type="pct"/>
            <w:noWrap w:val="0"/>
            <w:vAlign w:val="center"/>
          </w:tcPr>
          <w:p w14:paraId="31AEB0D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446" w:type="pct"/>
            <w:noWrap w:val="0"/>
            <w:vAlign w:val="center"/>
          </w:tcPr>
          <w:p w14:paraId="1592B92B">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买方指定地点</w:t>
            </w:r>
          </w:p>
        </w:tc>
        <w:tc>
          <w:tcPr>
            <w:tcW w:w="1012" w:type="pct"/>
            <w:vMerge w:val="continue"/>
            <w:noWrap w:val="0"/>
            <w:vAlign w:val="center"/>
          </w:tcPr>
          <w:p w14:paraId="7E0B7EEB">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646A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253" w:type="pct"/>
            <w:noWrap w:val="0"/>
            <w:vAlign w:val="center"/>
          </w:tcPr>
          <w:p w14:paraId="3C7AB1CC">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12</w:t>
            </w:r>
          </w:p>
        </w:tc>
        <w:tc>
          <w:tcPr>
            <w:tcW w:w="377" w:type="pct"/>
            <w:noWrap w:val="0"/>
            <w:vAlign w:val="center"/>
          </w:tcPr>
          <w:p w14:paraId="67964267">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220kV模拟断路器实训设备柜</w:t>
            </w:r>
          </w:p>
        </w:tc>
        <w:tc>
          <w:tcPr>
            <w:tcW w:w="1388" w:type="pct"/>
            <w:noWrap w:val="0"/>
            <w:vAlign w:val="center"/>
          </w:tcPr>
          <w:p w14:paraId="73D4486F">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2260×800×600(高×宽×深)mm</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屏柜颜色按实际供货</w:t>
            </w:r>
          </w:p>
        </w:tc>
        <w:tc>
          <w:tcPr>
            <w:tcW w:w="307" w:type="pct"/>
            <w:noWrap w:val="0"/>
            <w:vAlign w:val="center"/>
          </w:tcPr>
          <w:p w14:paraId="10F7B093">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面</w:t>
            </w:r>
          </w:p>
        </w:tc>
        <w:tc>
          <w:tcPr>
            <w:tcW w:w="256" w:type="pct"/>
            <w:noWrap w:val="0"/>
            <w:vAlign w:val="center"/>
          </w:tcPr>
          <w:p w14:paraId="56C491AF">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455" w:type="pct"/>
            <w:noWrap w:val="0"/>
            <w:vAlign w:val="center"/>
          </w:tcPr>
          <w:p w14:paraId="628F78A1">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日内</w:t>
            </w:r>
          </w:p>
        </w:tc>
        <w:tc>
          <w:tcPr>
            <w:tcW w:w="502" w:type="pct"/>
            <w:noWrap w:val="0"/>
            <w:vAlign w:val="center"/>
          </w:tcPr>
          <w:p w14:paraId="6A2958E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446" w:type="pct"/>
            <w:noWrap w:val="0"/>
            <w:vAlign w:val="center"/>
          </w:tcPr>
          <w:p w14:paraId="148B5639">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买方指定地点</w:t>
            </w:r>
          </w:p>
        </w:tc>
        <w:tc>
          <w:tcPr>
            <w:tcW w:w="1012" w:type="pct"/>
            <w:vMerge w:val="continue"/>
            <w:noWrap w:val="0"/>
            <w:vAlign w:val="center"/>
          </w:tcPr>
          <w:p w14:paraId="758157AC">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38DB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253" w:type="pct"/>
            <w:noWrap w:val="0"/>
            <w:vAlign w:val="center"/>
          </w:tcPr>
          <w:p w14:paraId="7DD63050">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13</w:t>
            </w:r>
          </w:p>
        </w:tc>
        <w:tc>
          <w:tcPr>
            <w:tcW w:w="377" w:type="pct"/>
            <w:noWrap w:val="0"/>
            <w:vAlign w:val="center"/>
          </w:tcPr>
          <w:p w14:paraId="00AE5814">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仿真加密模组</w:t>
            </w:r>
          </w:p>
        </w:tc>
        <w:tc>
          <w:tcPr>
            <w:tcW w:w="1388" w:type="pct"/>
            <w:noWrap w:val="0"/>
            <w:vAlign w:val="center"/>
          </w:tcPr>
          <w:p w14:paraId="141E2486">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100M网卡接口 ≥4个</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终端接口（RS232） 1个</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智能IC卡接口 1个</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设备厚度1U</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平均无故障时间（MTBF）＞60 000h（100％负荷）</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最大并发加密隧道数1024条</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明文数据包吞吐量95Mbit/s（50条安全策略，1024报文长度）</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密文数据包吞吐量25Mbit/s（50条安全策略，1024报文长度）</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数据包转发延迟＜1Ms</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100M LAN环境下，加密隧道建立延迟＜1Ms（50％数据吞吐量）</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满负荷数据包丢弃率0％</w:t>
            </w:r>
          </w:p>
        </w:tc>
        <w:tc>
          <w:tcPr>
            <w:tcW w:w="307" w:type="pct"/>
            <w:noWrap w:val="0"/>
            <w:vAlign w:val="center"/>
          </w:tcPr>
          <w:p w14:paraId="23EE2F09">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256" w:type="pct"/>
            <w:noWrap w:val="0"/>
            <w:vAlign w:val="center"/>
          </w:tcPr>
          <w:p w14:paraId="2EBACE13">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455" w:type="pct"/>
            <w:noWrap w:val="0"/>
            <w:vAlign w:val="center"/>
          </w:tcPr>
          <w:p w14:paraId="289FC091">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日内</w:t>
            </w:r>
          </w:p>
        </w:tc>
        <w:tc>
          <w:tcPr>
            <w:tcW w:w="502" w:type="pct"/>
            <w:noWrap w:val="0"/>
            <w:vAlign w:val="center"/>
          </w:tcPr>
          <w:p w14:paraId="05F05ED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446" w:type="pct"/>
            <w:noWrap w:val="0"/>
            <w:vAlign w:val="center"/>
          </w:tcPr>
          <w:p w14:paraId="723EA785">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买方指定地点</w:t>
            </w:r>
          </w:p>
        </w:tc>
        <w:tc>
          <w:tcPr>
            <w:tcW w:w="1012" w:type="pct"/>
            <w:vMerge w:val="continue"/>
            <w:noWrap w:val="0"/>
            <w:vAlign w:val="center"/>
          </w:tcPr>
          <w:p w14:paraId="2810DD83">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7520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53" w:type="pct"/>
            <w:noWrap w:val="0"/>
            <w:vAlign w:val="center"/>
          </w:tcPr>
          <w:p w14:paraId="181E826D">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14</w:t>
            </w:r>
          </w:p>
        </w:tc>
        <w:tc>
          <w:tcPr>
            <w:tcW w:w="377" w:type="pct"/>
            <w:noWrap w:val="0"/>
            <w:vAlign w:val="center"/>
          </w:tcPr>
          <w:p w14:paraId="7D782F9B">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仿真网安模组</w:t>
            </w:r>
          </w:p>
        </w:tc>
        <w:tc>
          <w:tcPr>
            <w:tcW w:w="1388" w:type="pct"/>
            <w:noWrap w:val="0"/>
            <w:vAlign w:val="center"/>
          </w:tcPr>
          <w:p w14:paraId="1A83EE4A">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采集信息吞吐量≥1000条/s</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支持监测对象数量≥100</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内存≥4GB，存储空间≥250GB</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对上传事件信息的处理时间≤500ms</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对远程调阅的处理时间≤500ms</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具备8个10M/100M/1000M自适应以太网电口（支持网口扩展），采用RJ45接口</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支持采集信息的本地存储，保存至少半年的采集信息</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支持上传事件信息的本地存储，保存至少一年的上传事件信息</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本地日志审计记录条数≥10000条</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通过IRIG-B同步，对时精度≤1ms，通过SNTP同步，对时精度≤100ms</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在没有外部时钟源校正时，24小时守时误差应不超过1s</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平均故障间隔时间（MTBF）≥30000h</w:t>
            </w:r>
          </w:p>
        </w:tc>
        <w:tc>
          <w:tcPr>
            <w:tcW w:w="307" w:type="pct"/>
            <w:noWrap w:val="0"/>
            <w:vAlign w:val="center"/>
          </w:tcPr>
          <w:p w14:paraId="45B4F63A">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256" w:type="pct"/>
            <w:noWrap w:val="0"/>
            <w:vAlign w:val="center"/>
          </w:tcPr>
          <w:p w14:paraId="12AD836F">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455" w:type="pct"/>
            <w:noWrap w:val="0"/>
            <w:vAlign w:val="center"/>
          </w:tcPr>
          <w:p w14:paraId="548EDEF1">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日内</w:t>
            </w:r>
          </w:p>
        </w:tc>
        <w:tc>
          <w:tcPr>
            <w:tcW w:w="502" w:type="pct"/>
            <w:noWrap w:val="0"/>
            <w:vAlign w:val="center"/>
          </w:tcPr>
          <w:p w14:paraId="11252A4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446" w:type="pct"/>
            <w:noWrap w:val="0"/>
            <w:vAlign w:val="center"/>
          </w:tcPr>
          <w:p w14:paraId="2AE8F08C">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买方指定地点</w:t>
            </w:r>
          </w:p>
        </w:tc>
        <w:tc>
          <w:tcPr>
            <w:tcW w:w="1012" w:type="pct"/>
            <w:vMerge w:val="continue"/>
            <w:noWrap w:val="0"/>
            <w:vAlign w:val="center"/>
          </w:tcPr>
          <w:p w14:paraId="39D73405">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361C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253" w:type="pct"/>
            <w:noWrap w:val="0"/>
            <w:vAlign w:val="center"/>
          </w:tcPr>
          <w:p w14:paraId="6D6A4C12">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15</w:t>
            </w:r>
          </w:p>
        </w:tc>
        <w:tc>
          <w:tcPr>
            <w:tcW w:w="377" w:type="pct"/>
            <w:noWrap w:val="0"/>
            <w:vAlign w:val="center"/>
          </w:tcPr>
          <w:p w14:paraId="12359B13">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仿真路由模组</w:t>
            </w:r>
          </w:p>
        </w:tc>
        <w:tc>
          <w:tcPr>
            <w:tcW w:w="1388" w:type="pct"/>
            <w:noWrap w:val="0"/>
            <w:vAlign w:val="center"/>
          </w:tcPr>
          <w:p w14:paraId="6BE435C4">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整机包转发能力≥400Kpps</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可支持接口类型：10/100/1000BaseT、E1、异步串口</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端口绑定：提供绑定接口情况</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机箱，配置冗余交流电源</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业务板配置≥2槽位，应至少具备4个10M/100M以太网接口；2个E1，板卡配置应满足冗余的要求，无单故障点</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网络协议：OSPF、BGP v4、BGP4 Extension、RIP v2、IS-IS等常用协议；IP、ATM、Frame Relay、PPP</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路由表容量(可变长子网)：提供具体的路由和转发表容量，以及各路由协议的表容量</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路由协议-组播：PIM-SM/DM、IGMP、MBGP、MSDP、MPLS VPN组播</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全面支持IPv4和IPv6双协议栈；支持IPv4向IPv6的基本过渡技术：支持IPv6静态路由，支持BGP4+、RIPng、OSPFv3、IS-ISv6等动态路由协议；支持ICMPv6、UDPv6、TCPv6、IPv6等</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MPLS：LDP，MP-BGP ，MPLS QoS；支持的标签数（总量、公网、私网）</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MPLS VPN：三层VPN（RFC2547），BGP MPLS VPN；能够实现分布式MPLS VPN处理，每块线卡必须能够本地化处理MPLS VPN业务；支持MPLS VPN跨域互联OptionA、B、C三种方式；支持的VRF 数量、私网路由数量（总量和单个VRF）</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流量工程：MPLS/ TE</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网络安全：RADIUS、CHAP验证、PAP验证、LOGIN验证、包过滤、访问控制列表、NAT、IPSec、IKE、URPF、SSHV2，提供具体NAT Session；ACL最大配置数，提供每个的规则数和在线速条件下最大的规则数</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可靠性：平均无故障间隔时间；电源告警监视、电压监视和环境温度监视；BFD功能支持情况</w:t>
            </w:r>
          </w:p>
        </w:tc>
        <w:tc>
          <w:tcPr>
            <w:tcW w:w="307" w:type="pct"/>
            <w:noWrap w:val="0"/>
            <w:vAlign w:val="center"/>
          </w:tcPr>
          <w:p w14:paraId="2BBA8C3D">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256" w:type="pct"/>
            <w:noWrap w:val="0"/>
            <w:vAlign w:val="center"/>
          </w:tcPr>
          <w:p w14:paraId="6BF371D8">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455" w:type="pct"/>
            <w:noWrap w:val="0"/>
            <w:vAlign w:val="center"/>
          </w:tcPr>
          <w:p w14:paraId="488356E8">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日内</w:t>
            </w:r>
          </w:p>
        </w:tc>
        <w:tc>
          <w:tcPr>
            <w:tcW w:w="502" w:type="pct"/>
            <w:noWrap w:val="0"/>
            <w:vAlign w:val="center"/>
          </w:tcPr>
          <w:p w14:paraId="7AEE1BE0">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446" w:type="pct"/>
            <w:noWrap w:val="0"/>
            <w:vAlign w:val="center"/>
          </w:tcPr>
          <w:p w14:paraId="6F6076C5">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买方指定地点</w:t>
            </w:r>
          </w:p>
        </w:tc>
        <w:tc>
          <w:tcPr>
            <w:tcW w:w="1012" w:type="pct"/>
            <w:vMerge w:val="continue"/>
            <w:noWrap w:val="0"/>
            <w:vAlign w:val="center"/>
          </w:tcPr>
          <w:p w14:paraId="635927B4">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13BF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53" w:type="pct"/>
            <w:noWrap w:val="0"/>
            <w:vAlign w:val="center"/>
          </w:tcPr>
          <w:p w14:paraId="7243E684">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16</w:t>
            </w:r>
          </w:p>
        </w:tc>
        <w:tc>
          <w:tcPr>
            <w:tcW w:w="377" w:type="pct"/>
            <w:noWrap w:val="0"/>
            <w:vAlign w:val="center"/>
          </w:tcPr>
          <w:p w14:paraId="07820AB4">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仿真系统柜</w:t>
            </w:r>
          </w:p>
        </w:tc>
        <w:tc>
          <w:tcPr>
            <w:tcW w:w="1388" w:type="pct"/>
            <w:noWrap w:val="0"/>
            <w:vAlign w:val="center"/>
          </w:tcPr>
          <w:p w14:paraId="7872982B">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2260×800×600(高×宽×深)mm</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屏柜颜色按实际供货</w:t>
            </w:r>
          </w:p>
        </w:tc>
        <w:tc>
          <w:tcPr>
            <w:tcW w:w="307" w:type="pct"/>
            <w:noWrap w:val="0"/>
            <w:vAlign w:val="center"/>
          </w:tcPr>
          <w:p w14:paraId="25657182">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面</w:t>
            </w:r>
          </w:p>
        </w:tc>
        <w:tc>
          <w:tcPr>
            <w:tcW w:w="256" w:type="pct"/>
            <w:noWrap w:val="0"/>
            <w:vAlign w:val="center"/>
          </w:tcPr>
          <w:p w14:paraId="314FC19E">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455" w:type="pct"/>
            <w:noWrap w:val="0"/>
            <w:vAlign w:val="center"/>
          </w:tcPr>
          <w:p w14:paraId="59CBB26E">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日内</w:t>
            </w:r>
          </w:p>
        </w:tc>
        <w:tc>
          <w:tcPr>
            <w:tcW w:w="502" w:type="pct"/>
            <w:noWrap w:val="0"/>
            <w:vAlign w:val="center"/>
          </w:tcPr>
          <w:p w14:paraId="4196FEE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446" w:type="pct"/>
            <w:noWrap w:val="0"/>
            <w:vAlign w:val="center"/>
          </w:tcPr>
          <w:p w14:paraId="59BA5A1D">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买方指定地点</w:t>
            </w:r>
          </w:p>
        </w:tc>
        <w:tc>
          <w:tcPr>
            <w:tcW w:w="1012" w:type="pct"/>
            <w:vMerge w:val="continue"/>
            <w:noWrap w:val="0"/>
            <w:vAlign w:val="center"/>
          </w:tcPr>
          <w:p w14:paraId="6FCEF076">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5D2A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53" w:type="pct"/>
            <w:noWrap w:val="0"/>
            <w:vAlign w:val="center"/>
          </w:tcPr>
          <w:p w14:paraId="3288FDDE">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17</w:t>
            </w:r>
          </w:p>
        </w:tc>
        <w:tc>
          <w:tcPr>
            <w:tcW w:w="377" w:type="pct"/>
            <w:noWrap w:val="0"/>
            <w:vAlign w:val="center"/>
          </w:tcPr>
          <w:p w14:paraId="17C5431E">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三相程控源</w:t>
            </w:r>
            <w:r>
              <w:rPr>
                <w:rFonts w:hint="eastAsia" w:asciiTheme="minorEastAsia" w:hAnsiTheme="minorEastAsia" w:eastAsiaTheme="minorEastAsia" w:cstheme="minorEastAsia"/>
                <w:sz w:val="24"/>
                <w:szCs w:val="24"/>
                <w:highlight w:val="none"/>
                <w:lang w:val="en-US" w:eastAsia="zh-CN"/>
              </w:rPr>
              <w:t>模组</w:t>
            </w:r>
          </w:p>
        </w:tc>
        <w:tc>
          <w:tcPr>
            <w:tcW w:w="1388" w:type="pct"/>
            <w:noWrap w:val="0"/>
            <w:vAlign w:val="center"/>
          </w:tcPr>
          <w:p w14:paraId="7210E2A2">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用于碳计量设备提供工作电源；配合AC-DC模块用于设备提供工作电源。1）交流电压输出</w:t>
            </w:r>
          </w:p>
          <w:p w14:paraId="430AE712">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调节细度:0.01%RG</w:t>
            </w:r>
          </w:p>
          <w:p w14:paraId="065F359F">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分辨率:5位有效数字</w:t>
            </w:r>
          </w:p>
          <w:p w14:paraId="56B385DF">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准确度:优于土0.1%RG</w:t>
            </w:r>
          </w:p>
          <w:p w14:paraId="1CF0B31B">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稳定度:优于土0.01%RG/1min</w:t>
            </w:r>
          </w:p>
          <w:p w14:paraId="6ADF96A7">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失真度:优于0.2%(非容性负载)</w:t>
            </w:r>
          </w:p>
          <w:p w14:paraId="246B8470">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输出功率:额定每相 20VA</w:t>
            </w:r>
          </w:p>
          <w:p w14:paraId="135763E1">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满负载调整率:小于土0.01%RG</w:t>
            </w:r>
          </w:p>
          <w:p w14:paraId="5669D3E1">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输出范围:10V~500V</w:t>
            </w:r>
          </w:p>
          <w:p w14:paraId="38DC0103">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档位设置:57.7V、100 V、220V、380V ，内部自动档位切换</w:t>
            </w:r>
          </w:p>
          <w:p w14:paraId="68BD717F">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2）交流电流输出</w:t>
            </w:r>
          </w:p>
          <w:p w14:paraId="5A781873">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调节细度:0.01%RG</w:t>
            </w:r>
          </w:p>
          <w:p w14:paraId="1C865100">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准确度:优于士0.1%RG</w:t>
            </w:r>
          </w:p>
          <w:p w14:paraId="25D73FBB">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分辨率:5位有效数字</w:t>
            </w:r>
          </w:p>
          <w:p w14:paraId="6547FAF9">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稳定度:优于士0.01% RG /1min</w:t>
            </w:r>
          </w:p>
          <w:p w14:paraId="5BB7A2DE">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失真度:优于 0.2%</w:t>
            </w:r>
          </w:p>
          <w:p w14:paraId="2810D2E3">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输出功率:每相20VA</w:t>
            </w:r>
          </w:p>
          <w:p w14:paraId="5FC0F1AC">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满负载调整率:小于士0.01%RG</w:t>
            </w:r>
          </w:p>
          <w:p w14:paraId="684914EE">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输出范围:0.5mA~ 24A</w:t>
            </w:r>
          </w:p>
          <w:p w14:paraId="358E00B8">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档位设置:0.2A、1A、5A、20A，自动档位切换</w:t>
            </w:r>
          </w:p>
          <w:p w14:paraId="3935BDE4">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3）功率输出</w:t>
            </w:r>
          </w:p>
          <w:p w14:paraId="324FE0AB">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准确度:优于 0.1%RG</w:t>
            </w:r>
          </w:p>
          <w:p w14:paraId="307D9E4E">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稳定度:优于 0.02%/1min。</w:t>
            </w:r>
          </w:p>
          <w:p w14:paraId="165A2F31">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分辨率:5位有效数字(有功功率、无功功率、视在功率)</w:t>
            </w:r>
          </w:p>
        </w:tc>
        <w:tc>
          <w:tcPr>
            <w:tcW w:w="307" w:type="pct"/>
            <w:noWrap w:val="0"/>
            <w:vAlign w:val="center"/>
          </w:tcPr>
          <w:p w14:paraId="3EBCD54D">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块</w:t>
            </w:r>
          </w:p>
        </w:tc>
        <w:tc>
          <w:tcPr>
            <w:tcW w:w="256" w:type="pct"/>
            <w:noWrap w:val="0"/>
            <w:vAlign w:val="center"/>
          </w:tcPr>
          <w:p w14:paraId="4C1C995D">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455" w:type="pct"/>
            <w:noWrap w:val="0"/>
            <w:vAlign w:val="center"/>
          </w:tcPr>
          <w:p w14:paraId="151791D4">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日内</w:t>
            </w:r>
          </w:p>
        </w:tc>
        <w:tc>
          <w:tcPr>
            <w:tcW w:w="502" w:type="pct"/>
            <w:noWrap w:val="0"/>
            <w:vAlign w:val="center"/>
          </w:tcPr>
          <w:p w14:paraId="66E185A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446" w:type="pct"/>
            <w:noWrap w:val="0"/>
            <w:vAlign w:val="center"/>
          </w:tcPr>
          <w:p w14:paraId="3E72AC8A">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买方指定地点</w:t>
            </w:r>
          </w:p>
        </w:tc>
        <w:tc>
          <w:tcPr>
            <w:tcW w:w="1012" w:type="pct"/>
            <w:vMerge w:val="continue"/>
            <w:noWrap w:val="0"/>
            <w:vAlign w:val="center"/>
          </w:tcPr>
          <w:p w14:paraId="399D7BE1">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6209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3" w:type="pct"/>
            <w:noWrap w:val="0"/>
            <w:vAlign w:val="center"/>
          </w:tcPr>
          <w:p w14:paraId="4A9DBE0A">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18</w:t>
            </w:r>
          </w:p>
        </w:tc>
        <w:tc>
          <w:tcPr>
            <w:tcW w:w="377" w:type="pct"/>
            <w:noWrap w:val="0"/>
            <w:vAlign w:val="center"/>
          </w:tcPr>
          <w:p w14:paraId="7C97F77F">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仿真碳计量电能表</w:t>
            </w:r>
          </w:p>
        </w:tc>
        <w:tc>
          <w:tcPr>
            <w:tcW w:w="1388" w:type="pct"/>
            <w:noWrap w:val="0"/>
            <w:vAlign w:val="center"/>
          </w:tcPr>
          <w:p w14:paraId="69ADE60D">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基于三相智能电能表或物联电能表架构增加碳计量功能的实现电、碳计量的表计，电碳表除电能数据外还可显示碳排放量、碳排放因子等数据，保留4位小数。</w:t>
            </w:r>
          </w:p>
        </w:tc>
        <w:tc>
          <w:tcPr>
            <w:tcW w:w="307" w:type="pct"/>
            <w:noWrap w:val="0"/>
            <w:vAlign w:val="center"/>
          </w:tcPr>
          <w:p w14:paraId="3383F984">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块</w:t>
            </w:r>
          </w:p>
        </w:tc>
        <w:tc>
          <w:tcPr>
            <w:tcW w:w="256" w:type="pct"/>
            <w:noWrap w:val="0"/>
            <w:vAlign w:val="center"/>
          </w:tcPr>
          <w:p w14:paraId="6E012C64">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455" w:type="pct"/>
            <w:noWrap w:val="0"/>
            <w:vAlign w:val="center"/>
          </w:tcPr>
          <w:p w14:paraId="1322F9F2">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日内</w:t>
            </w:r>
          </w:p>
        </w:tc>
        <w:tc>
          <w:tcPr>
            <w:tcW w:w="502" w:type="pct"/>
            <w:noWrap w:val="0"/>
            <w:vAlign w:val="center"/>
          </w:tcPr>
          <w:p w14:paraId="1926490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446" w:type="pct"/>
            <w:noWrap w:val="0"/>
            <w:vAlign w:val="center"/>
          </w:tcPr>
          <w:p w14:paraId="1B37179A">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买方指定地点</w:t>
            </w:r>
          </w:p>
        </w:tc>
        <w:tc>
          <w:tcPr>
            <w:tcW w:w="1012" w:type="pct"/>
            <w:vMerge w:val="continue"/>
            <w:noWrap w:val="0"/>
            <w:vAlign w:val="center"/>
          </w:tcPr>
          <w:p w14:paraId="36EE4535">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452B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3" w:type="pct"/>
            <w:noWrap w:val="0"/>
            <w:vAlign w:val="center"/>
          </w:tcPr>
          <w:p w14:paraId="7F150027">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19</w:t>
            </w:r>
          </w:p>
        </w:tc>
        <w:tc>
          <w:tcPr>
            <w:tcW w:w="377" w:type="pct"/>
            <w:noWrap w:val="0"/>
            <w:vAlign w:val="center"/>
          </w:tcPr>
          <w:p w14:paraId="0D6C0B97">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仿真专变终端</w:t>
            </w:r>
          </w:p>
        </w:tc>
        <w:tc>
          <w:tcPr>
            <w:tcW w:w="1388" w:type="pct"/>
            <w:noWrap w:val="0"/>
            <w:vAlign w:val="center"/>
          </w:tcPr>
          <w:p w14:paraId="623F078A">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b w:val="0"/>
                <w:bCs w:val="0"/>
                <w:i w:val="0"/>
                <w:iCs w:val="0"/>
                <w:snapToGrid w:val="0"/>
                <w:color w:val="auto"/>
                <w:kern w:val="0"/>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基于采集终端设计成仿真终端，电碳表支持总部碳计量扩展协议。</w:t>
            </w:r>
          </w:p>
        </w:tc>
        <w:tc>
          <w:tcPr>
            <w:tcW w:w="307" w:type="pct"/>
            <w:noWrap w:val="0"/>
            <w:vAlign w:val="center"/>
          </w:tcPr>
          <w:p w14:paraId="68CA54C7">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块</w:t>
            </w:r>
          </w:p>
        </w:tc>
        <w:tc>
          <w:tcPr>
            <w:tcW w:w="256" w:type="pct"/>
            <w:noWrap w:val="0"/>
            <w:vAlign w:val="center"/>
          </w:tcPr>
          <w:p w14:paraId="59B64604">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455" w:type="pct"/>
            <w:noWrap w:val="0"/>
            <w:vAlign w:val="center"/>
          </w:tcPr>
          <w:p w14:paraId="66696C71">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日内</w:t>
            </w:r>
          </w:p>
        </w:tc>
        <w:tc>
          <w:tcPr>
            <w:tcW w:w="502" w:type="pct"/>
            <w:noWrap w:val="0"/>
            <w:vAlign w:val="center"/>
          </w:tcPr>
          <w:p w14:paraId="75097BEB">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446" w:type="pct"/>
            <w:noWrap w:val="0"/>
            <w:vAlign w:val="center"/>
          </w:tcPr>
          <w:p w14:paraId="3EACDD84">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买方指定地点</w:t>
            </w:r>
          </w:p>
        </w:tc>
        <w:tc>
          <w:tcPr>
            <w:tcW w:w="1012" w:type="pct"/>
            <w:vMerge w:val="continue"/>
            <w:noWrap w:val="0"/>
            <w:vAlign w:val="center"/>
          </w:tcPr>
          <w:p w14:paraId="5108D03B">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5645E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53" w:type="pct"/>
            <w:noWrap w:val="0"/>
            <w:vAlign w:val="center"/>
          </w:tcPr>
          <w:p w14:paraId="6D74EBAB">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20</w:t>
            </w:r>
          </w:p>
        </w:tc>
        <w:tc>
          <w:tcPr>
            <w:tcW w:w="377" w:type="pct"/>
            <w:noWrap w:val="0"/>
            <w:vAlign w:val="center"/>
          </w:tcPr>
          <w:p w14:paraId="316CC9DF">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仿真三相表</w:t>
            </w:r>
          </w:p>
        </w:tc>
        <w:tc>
          <w:tcPr>
            <w:tcW w:w="1388" w:type="pct"/>
            <w:noWrap w:val="0"/>
            <w:vAlign w:val="center"/>
          </w:tcPr>
          <w:p w14:paraId="60CEB3E9">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基于三相智能电能表设计成仿真三相表。</w:t>
            </w:r>
          </w:p>
        </w:tc>
        <w:tc>
          <w:tcPr>
            <w:tcW w:w="307" w:type="pct"/>
            <w:noWrap w:val="0"/>
            <w:vAlign w:val="center"/>
          </w:tcPr>
          <w:p w14:paraId="630FA8D7">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块</w:t>
            </w:r>
          </w:p>
        </w:tc>
        <w:tc>
          <w:tcPr>
            <w:tcW w:w="256" w:type="pct"/>
            <w:noWrap w:val="0"/>
            <w:vAlign w:val="center"/>
          </w:tcPr>
          <w:p w14:paraId="0B344497">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w:t>
            </w:r>
          </w:p>
        </w:tc>
        <w:tc>
          <w:tcPr>
            <w:tcW w:w="455" w:type="pct"/>
            <w:noWrap w:val="0"/>
            <w:vAlign w:val="center"/>
          </w:tcPr>
          <w:p w14:paraId="1FDC4C67">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日内</w:t>
            </w:r>
          </w:p>
        </w:tc>
        <w:tc>
          <w:tcPr>
            <w:tcW w:w="502" w:type="pct"/>
            <w:noWrap w:val="0"/>
            <w:vAlign w:val="center"/>
          </w:tcPr>
          <w:p w14:paraId="6BE9DC5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446" w:type="pct"/>
            <w:noWrap w:val="0"/>
            <w:vAlign w:val="center"/>
          </w:tcPr>
          <w:p w14:paraId="3BDDC7A4">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买方指定地点</w:t>
            </w:r>
          </w:p>
        </w:tc>
        <w:tc>
          <w:tcPr>
            <w:tcW w:w="1012" w:type="pct"/>
            <w:vMerge w:val="continue"/>
            <w:noWrap w:val="0"/>
            <w:vAlign w:val="center"/>
          </w:tcPr>
          <w:p w14:paraId="7EF0EFE1">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7347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53" w:type="pct"/>
            <w:noWrap w:val="0"/>
            <w:vAlign w:val="center"/>
          </w:tcPr>
          <w:p w14:paraId="3CF2D5D2">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21</w:t>
            </w:r>
          </w:p>
        </w:tc>
        <w:tc>
          <w:tcPr>
            <w:tcW w:w="377" w:type="pct"/>
            <w:noWrap w:val="0"/>
            <w:vAlign w:val="center"/>
          </w:tcPr>
          <w:p w14:paraId="4CE354D8">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仿真台架</w:t>
            </w:r>
          </w:p>
        </w:tc>
        <w:tc>
          <w:tcPr>
            <w:tcW w:w="1388" w:type="pct"/>
            <w:noWrap w:val="0"/>
            <w:vAlign w:val="center"/>
          </w:tcPr>
          <w:p w14:paraId="53D9E1E7">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具备碳计量设备的模拟安装、模拟通信接线、碳传感设备的模拟安装和模拟通信接线；传感器模拟安装和通信接线和设备挂装。</w:t>
            </w:r>
          </w:p>
        </w:tc>
        <w:tc>
          <w:tcPr>
            <w:tcW w:w="307" w:type="pct"/>
            <w:noWrap w:val="0"/>
            <w:vAlign w:val="center"/>
          </w:tcPr>
          <w:p w14:paraId="3A0B911A">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256" w:type="pct"/>
            <w:noWrap w:val="0"/>
            <w:vAlign w:val="center"/>
          </w:tcPr>
          <w:p w14:paraId="75211D69">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455" w:type="pct"/>
            <w:noWrap w:val="0"/>
            <w:vAlign w:val="center"/>
          </w:tcPr>
          <w:p w14:paraId="121EB5BE">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日内</w:t>
            </w:r>
          </w:p>
        </w:tc>
        <w:tc>
          <w:tcPr>
            <w:tcW w:w="502" w:type="pct"/>
            <w:noWrap w:val="0"/>
            <w:vAlign w:val="center"/>
          </w:tcPr>
          <w:p w14:paraId="70D9A59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446" w:type="pct"/>
            <w:noWrap w:val="0"/>
            <w:vAlign w:val="center"/>
          </w:tcPr>
          <w:p w14:paraId="67631D81">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买方指定地点</w:t>
            </w:r>
          </w:p>
        </w:tc>
        <w:tc>
          <w:tcPr>
            <w:tcW w:w="1012" w:type="pct"/>
            <w:vMerge w:val="continue"/>
            <w:noWrap w:val="0"/>
            <w:vAlign w:val="center"/>
          </w:tcPr>
          <w:p w14:paraId="603D4B08">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3DD9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53" w:type="pct"/>
            <w:noWrap w:val="0"/>
            <w:vAlign w:val="center"/>
          </w:tcPr>
          <w:p w14:paraId="09F99166">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22</w:t>
            </w:r>
          </w:p>
        </w:tc>
        <w:tc>
          <w:tcPr>
            <w:tcW w:w="377" w:type="pct"/>
            <w:noWrap w:val="0"/>
            <w:vAlign w:val="center"/>
          </w:tcPr>
          <w:p w14:paraId="13FAA138">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仿真CEMS碳传感</w:t>
            </w:r>
            <w:r>
              <w:rPr>
                <w:rFonts w:hint="eastAsia" w:asciiTheme="minorEastAsia" w:hAnsiTheme="minorEastAsia" w:eastAsiaTheme="minorEastAsia" w:cstheme="minorEastAsia"/>
                <w:sz w:val="24"/>
                <w:szCs w:val="24"/>
                <w:highlight w:val="none"/>
                <w:lang w:val="en-US" w:eastAsia="zh-CN"/>
              </w:rPr>
              <w:t>模组</w:t>
            </w:r>
          </w:p>
        </w:tc>
        <w:tc>
          <w:tcPr>
            <w:tcW w:w="1388" w:type="pct"/>
            <w:noWrap w:val="0"/>
            <w:vAlign w:val="center"/>
          </w:tcPr>
          <w:p w14:paraId="1C6976C4">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仿真CEMS碳传感设备（浓度、流速、压力、温湿度）。</w:t>
            </w:r>
          </w:p>
        </w:tc>
        <w:tc>
          <w:tcPr>
            <w:tcW w:w="307" w:type="pct"/>
            <w:noWrap w:val="0"/>
            <w:vAlign w:val="center"/>
          </w:tcPr>
          <w:p w14:paraId="18F7288E">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块</w:t>
            </w:r>
          </w:p>
        </w:tc>
        <w:tc>
          <w:tcPr>
            <w:tcW w:w="256" w:type="pct"/>
            <w:noWrap w:val="0"/>
            <w:vAlign w:val="center"/>
          </w:tcPr>
          <w:p w14:paraId="249E0517">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455" w:type="pct"/>
            <w:noWrap w:val="0"/>
            <w:vAlign w:val="center"/>
          </w:tcPr>
          <w:p w14:paraId="76EF4544">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日内</w:t>
            </w:r>
          </w:p>
        </w:tc>
        <w:tc>
          <w:tcPr>
            <w:tcW w:w="502" w:type="pct"/>
            <w:noWrap w:val="0"/>
            <w:vAlign w:val="center"/>
          </w:tcPr>
          <w:p w14:paraId="4876435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446" w:type="pct"/>
            <w:noWrap w:val="0"/>
            <w:vAlign w:val="center"/>
          </w:tcPr>
          <w:p w14:paraId="4F63F5C1">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买方指定地点</w:t>
            </w:r>
          </w:p>
        </w:tc>
        <w:tc>
          <w:tcPr>
            <w:tcW w:w="1012" w:type="pct"/>
            <w:vMerge w:val="continue"/>
            <w:noWrap w:val="0"/>
            <w:vAlign w:val="center"/>
          </w:tcPr>
          <w:p w14:paraId="1909D308">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1D45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53" w:type="pct"/>
            <w:noWrap w:val="0"/>
            <w:vAlign w:val="center"/>
          </w:tcPr>
          <w:p w14:paraId="210BCE31">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23</w:t>
            </w:r>
          </w:p>
        </w:tc>
        <w:tc>
          <w:tcPr>
            <w:tcW w:w="377" w:type="pct"/>
            <w:noWrap w:val="0"/>
            <w:vAlign w:val="center"/>
          </w:tcPr>
          <w:p w14:paraId="14980A8E">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仿真用户侧碳排放传感</w:t>
            </w:r>
            <w:r>
              <w:rPr>
                <w:rFonts w:hint="eastAsia" w:asciiTheme="minorEastAsia" w:hAnsiTheme="minorEastAsia" w:eastAsiaTheme="minorEastAsia" w:cstheme="minorEastAsia"/>
                <w:sz w:val="24"/>
                <w:szCs w:val="24"/>
                <w:highlight w:val="none"/>
                <w:lang w:val="en-US" w:eastAsia="zh-CN"/>
              </w:rPr>
              <w:t>模组</w:t>
            </w:r>
          </w:p>
        </w:tc>
        <w:tc>
          <w:tcPr>
            <w:tcW w:w="1388" w:type="pct"/>
            <w:noWrap w:val="0"/>
            <w:vAlign w:val="center"/>
          </w:tcPr>
          <w:p w14:paraId="32088CCD">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用户侧仿真碳排放传感器。</w:t>
            </w:r>
          </w:p>
        </w:tc>
        <w:tc>
          <w:tcPr>
            <w:tcW w:w="307" w:type="pct"/>
            <w:noWrap w:val="0"/>
            <w:vAlign w:val="center"/>
          </w:tcPr>
          <w:p w14:paraId="054240E5">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块</w:t>
            </w:r>
          </w:p>
        </w:tc>
        <w:tc>
          <w:tcPr>
            <w:tcW w:w="256" w:type="pct"/>
            <w:noWrap w:val="0"/>
            <w:vAlign w:val="center"/>
          </w:tcPr>
          <w:p w14:paraId="7B2D0CB3">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455" w:type="pct"/>
            <w:noWrap w:val="0"/>
            <w:vAlign w:val="center"/>
          </w:tcPr>
          <w:p w14:paraId="7DABEC99">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日内</w:t>
            </w:r>
          </w:p>
        </w:tc>
        <w:tc>
          <w:tcPr>
            <w:tcW w:w="502" w:type="pct"/>
            <w:noWrap w:val="0"/>
            <w:vAlign w:val="center"/>
          </w:tcPr>
          <w:p w14:paraId="43B6FDF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446" w:type="pct"/>
            <w:noWrap w:val="0"/>
            <w:vAlign w:val="center"/>
          </w:tcPr>
          <w:p w14:paraId="539B3C4A">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买方指定地点</w:t>
            </w:r>
          </w:p>
        </w:tc>
        <w:tc>
          <w:tcPr>
            <w:tcW w:w="1012" w:type="pct"/>
            <w:vMerge w:val="continue"/>
            <w:noWrap w:val="0"/>
            <w:vAlign w:val="center"/>
          </w:tcPr>
          <w:p w14:paraId="25FB69EC">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193A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3" w:type="pct"/>
            <w:noWrap w:val="0"/>
            <w:vAlign w:val="center"/>
          </w:tcPr>
          <w:p w14:paraId="4D4B5441">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24</w:t>
            </w:r>
          </w:p>
        </w:tc>
        <w:tc>
          <w:tcPr>
            <w:tcW w:w="377" w:type="pct"/>
            <w:noWrap w:val="0"/>
            <w:vAlign w:val="center"/>
          </w:tcPr>
          <w:p w14:paraId="145E1988">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仿真发电侧碳计量模块</w:t>
            </w:r>
          </w:p>
        </w:tc>
        <w:tc>
          <w:tcPr>
            <w:tcW w:w="1388" w:type="pct"/>
            <w:noWrap w:val="0"/>
            <w:vAlign w:val="center"/>
          </w:tcPr>
          <w:p w14:paraId="43124F7A">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发电侧碳计量仿真，确保能够准确模拟发电过程和碳排放情况。根据需求，选择适当的碳排放计算方法和模型。收集发电侧的相关数据，包括发电量、能源消耗、排放因子等。对数据进行预处理，确保数据的准确性和一致性。仿真电力系统发电侧碳排放量和碳排放因子的计算过程。</w:t>
            </w:r>
          </w:p>
        </w:tc>
        <w:tc>
          <w:tcPr>
            <w:tcW w:w="307" w:type="pct"/>
            <w:noWrap w:val="0"/>
            <w:vAlign w:val="center"/>
          </w:tcPr>
          <w:p w14:paraId="34D6FF60">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256" w:type="pct"/>
            <w:noWrap w:val="0"/>
            <w:vAlign w:val="center"/>
          </w:tcPr>
          <w:p w14:paraId="149DE6B3">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455" w:type="pct"/>
            <w:noWrap w:val="0"/>
            <w:vAlign w:val="center"/>
          </w:tcPr>
          <w:p w14:paraId="2CF2BA02">
            <w:pPr>
              <w:widowControl/>
              <w:ind w:left="0" w:leftChars="0" w:firstLine="0" w:firstLineChars="0"/>
              <w:jc w:val="center"/>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日内</w:t>
            </w:r>
          </w:p>
        </w:tc>
        <w:tc>
          <w:tcPr>
            <w:tcW w:w="502" w:type="pct"/>
            <w:noWrap w:val="0"/>
            <w:vAlign w:val="center"/>
          </w:tcPr>
          <w:p w14:paraId="54F60E1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446" w:type="pct"/>
            <w:noWrap w:val="0"/>
            <w:vAlign w:val="center"/>
          </w:tcPr>
          <w:p w14:paraId="232DA92D">
            <w:pPr>
              <w:widowControl/>
              <w:ind w:left="0" w:leftChars="0" w:firstLine="0" w:firstLineChars="0"/>
              <w:jc w:val="center"/>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rPr>
              <w:t>买方指定地点</w:t>
            </w:r>
          </w:p>
        </w:tc>
        <w:tc>
          <w:tcPr>
            <w:tcW w:w="1012" w:type="pct"/>
            <w:vMerge w:val="continue"/>
            <w:noWrap w:val="0"/>
            <w:vAlign w:val="center"/>
          </w:tcPr>
          <w:p w14:paraId="54DF6151">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308E2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253" w:type="pct"/>
            <w:noWrap w:val="0"/>
            <w:vAlign w:val="center"/>
          </w:tcPr>
          <w:p w14:paraId="6307F646">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25</w:t>
            </w:r>
          </w:p>
        </w:tc>
        <w:tc>
          <w:tcPr>
            <w:tcW w:w="377" w:type="pct"/>
            <w:noWrap w:val="0"/>
            <w:vAlign w:val="center"/>
          </w:tcPr>
          <w:p w14:paraId="508F5670">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输变配侧碳计量仿真模块</w:t>
            </w:r>
          </w:p>
        </w:tc>
        <w:tc>
          <w:tcPr>
            <w:tcW w:w="1388" w:type="pct"/>
            <w:noWrap w:val="0"/>
            <w:vAlign w:val="center"/>
          </w:tcPr>
          <w:p w14:paraId="6D1A7C0D">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根据流入节点的所有碳排放在节点处进行混合后，首先满足本节点负荷，然后再随流出潮流向下一级线路流动和流出节点线路的碳流密度，等于该节点碳排放因子的碳流原则设计电力系统在输变配侧碳计量的仿真方案，仿真电力系统输变配环节动态碳排放因子的计算和传递过程。</w:t>
            </w:r>
          </w:p>
        </w:tc>
        <w:tc>
          <w:tcPr>
            <w:tcW w:w="307" w:type="pct"/>
            <w:noWrap w:val="0"/>
            <w:vAlign w:val="center"/>
          </w:tcPr>
          <w:p w14:paraId="09B420DC">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256" w:type="pct"/>
            <w:noWrap w:val="0"/>
            <w:vAlign w:val="center"/>
          </w:tcPr>
          <w:p w14:paraId="1BC91CCE">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455" w:type="pct"/>
            <w:noWrap w:val="0"/>
            <w:vAlign w:val="center"/>
          </w:tcPr>
          <w:p w14:paraId="3D9D870B">
            <w:pPr>
              <w:widowControl/>
              <w:ind w:left="0" w:leftChars="0" w:firstLine="0" w:firstLineChars="0"/>
              <w:jc w:val="center"/>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日内</w:t>
            </w:r>
          </w:p>
        </w:tc>
        <w:tc>
          <w:tcPr>
            <w:tcW w:w="502" w:type="pct"/>
            <w:noWrap w:val="0"/>
            <w:vAlign w:val="center"/>
          </w:tcPr>
          <w:p w14:paraId="3715D52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446" w:type="pct"/>
            <w:noWrap w:val="0"/>
            <w:vAlign w:val="center"/>
          </w:tcPr>
          <w:p w14:paraId="73D4B5F5">
            <w:pPr>
              <w:widowControl/>
              <w:ind w:left="0" w:leftChars="0" w:firstLine="0" w:firstLineChars="0"/>
              <w:jc w:val="center"/>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rPr>
              <w:t>买方指定地点</w:t>
            </w:r>
          </w:p>
        </w:tc>
        <w:tc>
          <w:tcPr>
            <w:tcW w:w="1012" w:type="pct"/>
            <w:vMerge w:val="continue"/>
            <w:noWrap w:val="0"/>
            <w:vAlign w:val="center"/>
          </w:tcPr>
          <w:p w14:paraId="5424A53A">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5375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53" w:type="pct"/>
            <w:noWrap w:val="0"/>
            <w:vAlign w:val="center"/>
          </w:tcPr>
          <w:p w14:paraId="2C2CE00C">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26</w:t>
            </w:r>
          </w:p>
        </w:tc>
        <w:tc>
          <w:tcPr>
            <w:tcW w:w="377" w:type="pct"/>
            <w:noWrap w:val="0"/>
            <w:vAlign w:val="center"/>
          </w:tcPr>
          <w:p w14:paraId="6AC0DB32">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电侧碳计量仿真模块</w:t>
            </w:r>
          </w:p>
        </w:tc>
        <w:tc>
          <w:tcPr>
            <w:tcW w:w="1388" w:type="pct"/>
            <w:noWrap w:val="0"/>
            <w:vAlign w:val="center"/>
          </w:tcPr>
          <w:p w14:paraId="0F9F14D9">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仿真电力系统碳排放因子从发电侧到用电侧的传递过程，并实现用户侧的碳排放计算。动态碳排放因子仿真，仿真验证电力系统发输变配用各节点动态碳排放因子的计算和传递过程。</w:t>
            </w:r>
          </w:p>
        </w:tc>
        <w:tc>
          <w:tcPr>
            <w:tcW w:w="307" w:type="pct"/>
            <w:noWrap w:val="0"/>
            <w:vAlign w:val="center"/>
          </w:tcPr>
          <w:p w14:paraId="35E0B0CF">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256" w:type="pct"/>
            <w:noWrap w:val="0"/>
            <w:vAlign w:val="center"/>
          </w:tcPr>
          <w:p w14:paraId="7A3AB89A">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455" w:type="pct"/>
            <w:noWrap w:val="0"/>
            <w:vAlign w:val="center"/>
          </w:tcPr>
          <w:p w14:paraId="4CAF9D33">
            <w:pPr>
              <w:widowControl/>
              <w:ind w:left="0" w:leftChars="0" w:firstLine="0" w:firstLineChars="0"/>
              <w:jc w:val="center"/>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日内</w:t>
            </w:r>
          </w:p>
        </w:tc>
        <w:tc>
          <w:tcPr>
            <w:tcW w:w="502" w:type="pct"/>
            <w:noWrap w:val="0"/>
            <w:vAlign w:val="center"/>
          </w:tcPr>
          <w:p w14:paraId="3D82F0E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446" w:type="pct"/>
            <w:noWrap w:val="0"/>
            <w:vAlign w:val="center"/>
          </w:tcPr>
          <w:p w14:paraId="1EC9B83F">
            <w:pPr>
              <w:widowControl/>
              <w:ind w:left="0" w:leftChars="0" w:firstLine="0" w:firstLineChars="0"/>
              <w:jc w:val="center"/>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rPr>
              <w:t>买方指定地点</w:t>
            </w:r>
          </w:p>
        </w:tc>
        <w:tc>
          <w:tcPr>
            <w:tcW w:w="1012" w:type="pct"/>
            <w:vMerge w:val="continue"/>
            <w:noWrap w:val="0"/>
            <w:vAlign w:val="center"/>
          </w:tcPr>
          <w:p w14:paraId="76D5A562">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636E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53" w:type="pct"/>
            <w:noWrap w:val="0"/>
            <w:vAlign w:val="center"/>
          </w:tcPr>
          <w:p w14:paraId="39513E40">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27</w:t>
            </w:r>
          </w:p>
        </w:tc>
        <w:tc>
          <w:tcPr>
            <w:tcW w:w="377" w:type="pct"/>
            <w:noWrap w:val="0"/>
            <w:vAlign w:val="center"/>
          </w:tcPr>
          <w:p w14:paraId="6C78797E">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用户侧多场景碳计量仿真模块</w:t>
            </w:r>
          </w:p>
        </w:tc>
        <w:tc>
          <w:tcPr>
            <w:tcW w:w="1388" w:type="pct"/>
            <w:noWrap w:val="0"/>
            <w:vAlign w:val="center"/>
          </w:tcPr>
          <w:p w14:paraId="7F12F687">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依托电力系统碳计量仿真台体中的部分组件可搭建北城工业园区、微电网等电力系统碳计量场景拓扑并进行仿真；根据实验和科研需求，组合式地搭建仿真拓扑，对不确定场景进行仿真。</w:t>
            </w:r>
          </w:p>
        </w:tc>
        <w:tc>
          <w:tcPr>
            <w:tcW w:w="307" w:type="pct"/>
            <w:noWrap w:val="0"/>
            <w:vAlign w:val="center"/>
          </w:tcPr>
          <w:p w14:paraId="0DFB43AF">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256" w:type="pct"/>
            <w:noWrap w:val="0"/>
            <w:vAlign w:val="center"/>
          </w:tcPr>
          <w:p w14:paraId="2A2A1AAA">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455" w:type="pct"/>
            <w:noWrap w:val="0"/>
            <w:vAlign w:val="center"/>
          </w:tcPr>
          <w:p w14:paraId="6C5A00FF">
            <w:pPr>
              <w:widowControl/>
              <w:ind w:left="0" w:leftChars="0" w:firstLine="0" w:firstLineChars="0"/>
              <w:jc w:val="center"/>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日内</w:t>
            </w:r>
          </w:p>
        </w:tc>
        <w:tc>
          <w:tcPr>
            <w:tcW w:w="502" w:type="pct"/>
            <w:noWrap w:val="0"/>
            <w:vAlign w:val="center"/>
          </w:tcPr>
          <w:p w14:paraId="09D52B5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446" w:type="pct"/>
            <w:noWrap w:val="0"/>
            <w:vAlign w:val="center"/>
          </w:tcPr>
          <w:p w14:paraId="1A6A62B1">
            <w:pPr>
              <w:widowControl/>
              <w:ind w:left="0" w:leftChars="0" w:firstLine="0" w:firstLineChars="0"/>
              <w:jc w:val="center"/>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rPr>
              <w:t>买方指定地点</w:t>
            </w:r>
          </w:p>
        </w:tc>
        <w:tc>
          <w:tcPr>
            <w:tcW w:w="1012" w:type="pct"/>
            <w:vMerge w:val="continue"/>
            <w:noWrap w:val="0"/>
            <w:vAlign w:val="center"/>
          </w:tcPr>
          <w:p w14:paraId="7D8A8B83">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4D92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53" w:type="pct"/>
            <w:noWrap w:val="0"/>
            <w:vAlign w:val="center"/>
          </w:tcPr>
          <w:p w14:paraId="55547E12">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28</w:t>
            </w:r>
          </w:p>
        </w:tc>
        <w:tc>
          <w:tcPr>
            <w:tcW w:w="377" w:type="pct"/>
            <w:noWrap w:val="0"/>
            <w:vAlign w:val="center"/>
          </w:tcPr>
          <w:p w14:paraId="3ADA42E9">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电力系统碳计量设备检测模块</w:t>
            </w:r>
          </w:p>
        </w:tc>
        <w:tc>
          <w:tcPr>
            <w:tcW w:w="1388" w:type="pct"/>
            <w:noWrap w:val="0"/>
            <w:vAlign w:val="center"/>
          </w:tcPr>
          <w:p w14:paraId="12B5350B">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仿真验证电力系统发输变配用各节点动态碳排放因子的计算和传递过程。对碳排放因子在各节点的准确度进行检测。</w:t>
            </w:r>
          </w:p>
        </w:tc>
        <w:tc>
          <w:tcPr>
            <w:tcW w:w="307" w:type="pct"/>
            <w:noWrap w:val="0"/>
            <w:vAlign w:val="center"/>
          </w:tcPr>
          <w:p w14:paraId="22A55F99">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256" w:type="pct"/>
            <w:noWrap w:val="0"/>
            <w:vAlign w:val="center"/>
          </w:tcPr>
          <w:p w14:paraId="1915443C">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455" w:type="pct"/>
            <w:noWrap w:val="0"/>
            <w:vAlign w:val="center"/>
          </w:tcPr>
          <w:p w14:paraId="47BF9CA4">
            <w:pPr>
              <w:widowControl/>
              <w:ind w:left="0" w:leftChars="0" w:firstLine="0" w:firstLineChars="0"/>
              <w:jc w:val="center"/>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日内</w:t>
            </w:r>
          </w:p>
        </w:tc>
        <w:tc>
          <w:tcPr>
            <w:tcW w:w="502" w:type="pct"/>
            <w:noWrap w:val="0"/>
            <w:vAlign w:val="center"/>
          </w:tcPr>
          <w:p w14:paraId="41553B0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446" w:type="pct"/>
            <w:noWrap w:val="0"/>
            <w:vAlign w:val="center"/>
          </w:tcPr>
          <w:p w14:paraId="25648FEF">
            <w:pPr>
              <w:widowControl/>
              <w:ind w:left="0" w:leftChars="0" w:firstLine="0" w:firstLineChars="0"/>
              <w:jc w:val="center"/>
              <w:textAlignment w:val="center"/>
              <w:rPr>
                <w:rFonts w:hint="eastAsia" w:asciiTheme="minorEastAsia" w:hAnsiTheme="minorEastAsia" w:eastAsiaTheme="minorEastAsia" w:cstheme="minorEastAsia"/>
                <w:b/>
                <w:bCs/>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rPr>
              <w:t>买方指定地点</w:t>
            </w:r>
          </w:p>
        </w:tc>
        <w:tc>
          <w:tcPr>
            <w:tcW w:w="1012" w:type="pct"/>
            <w:vMerge w:val="continue"/>
            <w:noWrap w:val="0"/>
            <w:vAlign w:val="center"/>
          </w:tcPr>
          <w:p w14:paraId="6EBB9659">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4985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53" w:type="pct"/>
            <w:noWrap w:val="0"/>
            <w:vAlign w:val="center"/>
          </w:tcPr>
          <w:p w14:paraId="40C8DCF8">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29</w:t>
            </w:r>
          </w:p>
        </w:tc>
        <w:tc>
          <w:tcPr>
            <w:tcW w:w="377" w:type="pct"/>
            <w:noWrap w:val="0"/>
            <w:vAlign w:val="center"/>
          </w:tcPr>
          <w:p w14:paraId="7905ABE3">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监控仿真实训模块</w:t>
            </w:r>
          </w:p>
        </w:tc>
        <w:tc>
          <w:tcPr>
            <w:tcW w:w="1388" w:type="pct"/>
            <w:noWrap w:val="0"/>
            <w:vAlign w:val="center"/>
          </w:tcPr>
          <w:p w14:paraId="0789C37C">
            <w:pPr>
              <w:tabs>
                <w:tab w:val="left" w:pos="780"/>
              </w:tabs>
              <w:spacing w:before="30" w:beforeLines="0" w:after="90" w:afterLines="0"/>
              <w:ind w:left="0" w:leftChars="0" w:firstLine="0" w:firstLineChars="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含凝思操作系统；根据具体的实训需求，安装专业的监控仿真软件。这些软件应具备实时数据采集、分析、模拟以及可视化展示等功能。例如，能够实时监测设备状态参数，并通过仿真模型模拟设备运行过程中的各种工况变化。软件应支持与凝思操作系统的无缝集成，确保数据交互的顺畅。例如，软件的数据接口应与凝思系统的内核或相关驱动程序良好兼容，以便准确地获取系统资源信息和控制硬件设备。安装适合的数据库软件，如MySQL、Oracle等。用于存储监控仿真过程中的历史数据、配置信息、设备参数等。数据库应具备高可靠性和数据处理能力，能够快速地存储和检索大量数据，以满足实训后台对数据管理的要求。数据库软件需要与监控仿真软件和凝思操作系统进行合理配置，确保数据的准确传输和存储。例如，通过设置合适的数据库连接参数，使监控仿真软件能够顺利地将采集到的数据写入数据库，并在需要时从数据库中读取历史数据进行分析和展示。</w:t>
            </w:r>
          </w:p>
        </w:tc>
        <w:tc>
          <w:tcPr>
            <w:tcW w:w="307" w:type="pct"/>
            <w:noWrap w:val="0"/>
            <w:vAlign w:val="center"/>
          </w:tcPr>
          <w:p w14:paraId="75D4B775">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256" w:type="pct"/>
            <w:noWrap w:val="0"/>
            <w:vAlign w:val="center"/>
          </w:tcPr>
          <w:p w14:paraId="2C5935E2">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9</w:t>
            </w:r>
          </w:p>
        </w:tc>
        <w:tc>
          <w:tcPr>
            <w:tcW w:w="455" w:type="pct"/>
            <w:noWrap w:val="0"/>
            <w:vAlign w:val="center"/>
          </w:tcPr>
          <w:p w14:paraId="5D55257A">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日内</w:t>
            </w:r>
          </w:p>
        </w:tc>
        <w:tc>
          <w:tcPr>
            <w:tcW w:w="502" w:type="pct"/>
            <w:noWrap w:val="0"/>
            <w:vAlign w:val="center"/>
          </w:tcPr>
          <w:p w14:paraId="6D431B72">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446" w:type="pct"/>
            <w:noWrap w:val="0"/>
            <w:vAlign w:val="center"/>
          </w:tcPr>
          <w:p w14:paraId="1D8D14C9">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买方指定地点</w:t>
            </w:r>
          </w:p>
        </w:tc>
        <w:tc>
          <w:tcPr>
            <w:tcW w:w="1012" w:type="pct"/>
            <w:vMerge w:val="continue"/>
            <w:noWrap w:val="0"/>
            <w:vAlign w:val="center"/>
          </w:tcPr>
          <w:p w14:paraId="3592B0C5">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44A3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253" w:type="pct"/>
            <w:noWrap w:val="0"/>
            <w:vAlign w:val="center"/>
          </w:tcPr>
          <w:p w14:paraId="563A3CFE">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30</w:t>
            </w:r>
          </w:p>
        </w:tc>
        <w:tc>
          <w:tcPr>
            <w:tcW w:w="377" w:type="pct"/>
            <w:noWrap w:val="0"/>
            <w:vAlign w:val="center"/>
          </w:tcPr>
          <w:p w14:paraId="46A36126">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图形处理实训模组</w:t>
            </w:r>
          </w:p>
        </w:tc>
        <w:tc>
          <w:tcPr>
            <w:tcW w:w="1388" w:type="pct"/>
            <w:noWrap w:val="0"/>
            <w:vAlign w:val="center"/>
          </w:tcPr>
          <w:p w14:paraId="75563155">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处理器字长不低于64位；</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CPU不低于4路（≥ 4 核/路）</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主频不低于1.8 GHz</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内存不低于16 G</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显卡双显，显存不低于512 MB</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硬盘（SAS）不低于500 GB*2</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网口数量不低于4个</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网卡速率100/1000M自适应</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光驱DVD×1</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键盘鼠标1套</w:t>
            </w:r>
          </w:p>
        </w:tc>
        <w:tc>
          <w:tcPr>
            <w:tcW w:w="307" w:type="pct"/>
            <w:noWrap w:val="0"/>
            <w:vAlign w:val="center"/>
          </w:tcPr>
          <w:p w14:paraId="621EBB1E">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256" w:type="pct"/>
            <w:noWrap w:val="0"/>
            <w:vAlign w:val="center"/>
          </w:tcPr>
          <w:p w14:paraId="49FBBC1A">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18</w:t>
            </w:r>
          </w:p>
        </w:tc>
        <w:tc>
          <w:tcPr>
            <w:tcW w:w="455" w:type="pct"/>
            <w:noWrap w:val="0"/>
            <w:vAlign w:val="center"/>
          </w:tcPr>
          <w:p w14:paraId="254FF93C">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日内</w:t>
            </w:r>
          </w:p>
        </w:tc>
        <w:tc>
          <w:tcPr>
            <w:tcW w:w="502" w:type="pct"/>
            <w:noWrap w:val="0"/>
            <w:vAlign w:val="center"/>
          </w:tcPr>
          <w:p w14:paraId="1345777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446" w:type="pct"/>
            <w:noWrap w:val="0"/>
            <w:vAlign w:val="center"/>
          </w:tcPr>
          <w:p w14:paraId="5EA95E01">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买方指定地点</w:t>
            </w:r>
          </w:p>
        </w:tc>
        <w:tc>
          <w:tcPr>
            <w:tcW w:w="1012" w:type="pct"/>
            <w:vMerge w:val="continue"/>
            <w:noWrap w:val="0"/>
            <w:vAlign w:val="center"/>
          </w:tcPr>
          <w:p w14:paraId="20154DEA">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76B7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3" w:type="pct"/>
            <w:noWrap w:val="0"/>
            <w:vAlign w:val="center"/>
          </w:tcPr>
          <w:p w14:paraId="04325105">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31</w:t>
            </w:r>
          </w:p>
        </w:tc>
        <w:tc>
          <w:tcPr>
            <w:tcW w:w="377" w:type="pct"/>
            <w:noWrap w:val="0"/>
            <w:vAlign w:val="center"/>
          </w:tcPr>
          <w:p w14:paraId="054C9D83">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显示模组</w:t>
            </w:r>
          </w:p>
        </w:tc>
        <w:tc>
          <w:tcPr>
            <w:tcW w:w="1388" w:type="pct"/>
            <w:noWrap w:val="0"/>
            <w:vAlign w:val="center"/>
          </w:tcPr>
          <w:p w14:paraId="1100A08A">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24寸液晶</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屏幕比例16:9</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对比度≥1300:1</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分辨率不低于1920*1080</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亮度≥250 cd/㎡</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响应时间≤4ms GtG</w:t>
            </w:r>
          </w:p>
        </w:tc>
        <w:tc>
          <w:tcPr>
            <w:tcW w:w="307" w:type="pct"/>
            <w:noWrap w:val="0"/>
            <w:vAlign w:val="center"/>
          </w:tcPr>
          <w:p w14:paraId="1C6791CB">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台</w:t>
            </w:r>
          </w:p>
        </w:tc>
        <w:tc>
          <w:tcPr>
            <w:tcW w:w="256" w:type="pct"/>
            <w:noWrap w:val="0"/>
            <w:vAlign w:val="center"/>
          </w:tcPr>
          <w:p w14:paraId="3509CA16">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18</w:t>
            </w:r>
          </w:p>
        </w:tc>
        <w:tc>
          <w:tcPr>
            <w:tcW w:w="455" w:type="pct"/>
            <w:noWrap w:val="0"/>
            <w:vAlign w:val="center"/>
          </w:tcPr>
          <w:p w14:paraId="0ABC0443">
            <w:pPr>
              <w:widowControl/>
              <w:ind w:left="0" w:leftChars="0" w:firstLine="0" w:firstLineChars="0"/>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日内</w:t>
            </w:r>
          </w:p>
        </w:tc>
        <w:tc>
          <w:tcPr>
            <w:tcW w:w="502" w:type="pct"/>
            <w:noWrap w:val="0"/>
            <w:vAlign w:val="center"/>
          </w:tcPr>
          <w:p w14:paraId="5CB5071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446" w:type="pct"/>
            <w:noWrap w:val="0"/>
            <w:vAlign w:val="center"/>
          </w:tcPr>
          <w:p w14:paraId="5954A29C">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买方指定地点</w:t>
            </w:r>
          </w:p>
        </w:tc>
        <w:tc>
          <w:tcPr>
            <w:tcW w:w="1012" w:type="pct"/>
            <w:vMerge w:val="continue"/>
            <w:noWrap w:val="0"/>
            <w:vAlign w:val="center"/>
          </w:tcPr>
          <w:p w14:paraId="4ADDC852">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bl>
    <w:p w14:paraId="7B8D71AF">
      <w:pPr>
        <w:tabs>
          <w:tab w:val="left" w:pos="3627"/>
        </w:tabs>
        <w:ind w:firstLine="0" w:firstLine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67977DD">
      <w:pPr>
        <w:pStyle w:val="13"/>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具体供货不局限于上述产品。应包括上述产品相关配件，类似升级产品。</w:t>
      </w:r>
    </w:p>
    <w:p w14:paraId="561A6491">
      <w:pPr>
        <w:pStyle w:val="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2E13A2CC">
      <w:pPr>
        <w:pStyle w:val="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747893B">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p w14:paraId="46CEE3C0">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5E47B2A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7FA71">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5B2A9E">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B5B2A9E">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6B29AC83">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6B29AC83">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A8B5858"/>
    <w:rsid w:val="0C9566ED"/>
    <w:rsid w:val="10C017AC"/>
    <w:rsid w:val="11EF4173"/>
    <w:rsid w:val="16267F4A"/>
    <w:rsid w:val="17252504"/>
    <w:rsid w:val="17832749"/>
    <w:rsid w:val="188E6C44"/>
    <w:rsid w:val="18E776A7"/>
    <w:rsid w:val="22BC120E"/>
    <w:rsid w:val="22F71DBE"/>
    <w:rsid w:val="26BD5819"/>
    <w:rsid w:val="28455ABC"/>
    <w:rsid w:val="2EBF6414"/>
    <w:rsid w:val="3A2F2590"/>
    <w:rsid w:val="3AA64F13"/>
    <w:rsid w:val="3CED70CC"/>
    <w:rsid w:val="42CE694E"/>
    <w:rsid w:val="4AA15384"/>
    <w:rsid w:val="4ABD7A75"/>
    <w:rsid w:val="4D2E620D"/>
    <w:rsid w:val="4F403134"/>
    <w:rsid w:val="50E64EAF"/>
    <w:rsid w:val="50EC207F"/>
    <w:rsid w:val="511E0452"/>
    <w:rsid w:val="51340035"/>
    <w:rsid w:val="516A3318"/>
    <w:rsid w:val="618E5D7E"/>
    <w:rsid w:val="637846F9"/>
    <w:rsid w:val="668F4233"/>
    <w:rsid w:val="699B2708"/>
    <w:rsid w:val="6A0534A5"/>
    <w:rsid w:val="6B0F6C92"/>
    <w:rsid w:val="6B8F54C3"/>
    <w:rsid w:val="72A11576"/>
    <w:rsid w:val="75097A79"/>
    <w:rsid w:val="762519CD"/>
    <w:rsid w:val="775C1463"/>
    <w:rsid w:val="779E0348"/>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5266</Words>
  <Characters>5832</Characters>
  <Lines>0</Lines>
  <Paragraphs>0</Paragraphs>
  <TotalTime>5</TotalTime>
  <ScaleCrop>false</ScaleCrop>
  <LinksUpToDate>false</LinksUpToDate>
  <CharactersWithSpaces>5904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佳期如许</cp:lastModifiedBy>
  <dcterms:modified xsi:type="dcterms:W3CDTF">2025-07-15T09:08:10Z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296FC62DB6294EADA253599167B65536_13</vt:lpwstr>
  </property>
  <property fmtid="{D5CDD505-2E9C-101B-9397-08002B2CF9AE}" pid="4" name="KSOTemplateDocerSaveRecord">
    <vt:lpwstr>eyJoZGlkIjoiMzcwNjJhMjRjNDdiZDcxN2YwM2E3NTkwZGEwYzQ4ZjMiLCJ1c2VySWQiOiIxMTMxODAxOTk4In0=</vt:lpwstr>
  </property>
</Properties>
</file>