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BD2D3">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bookmarkStart w:id="1" w:name="_GoBack"/>
      <w:bookmarkEnd w:id="1"/>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50"/>
        <w:gridCol w:w="5266"/>
        <w:gridCol w:w="754"/>
        <w:gridCol w:w="836"/>
        <w:gridCol w:w="1018"/>
        <w:gridCol w:w="1071"/>
        <w:gridCol w:w="986"/>
        <w:gridCol w:w="2027"/>
      </w:tblGrid>
      <w:tr w14:paraId="75675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Align w:val="center"/>
          </w:tcPr>
          <w:p w14:paraId="2A66A96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50" w:type="dxa"/>
            <w:shd w:val="clear" w:color="auto" w:fill="auto"/>
            <w:vAlign w:val="center"/>
          </w:tcPr>
          <w:p w14:paraId="3711AE1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物资名称</w:t>
            </w:r>
          </w:p>
        </w:tc>
        <w:tc>
          <w:tcPr>
            <w:tcW w:w="5266" w:type="dxa"/>
            <w:shd w:val="clear" w:color="auto" w:fill="auto"/>
            <w:vAlign w:val="center"/>
          </w:tcPr>
          <w:p w14:paraId="6FED14B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754" w:type="dxa"/>
            <w:shd w:val="clear" w:color="auto" w:fill="auto"/>
            <w:vAlign w:val="center"/>
          </w:tcPr>
          <w:p w14:paraId="683196E7">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36" w:type="dxa"/>
            <w:shd w:val="clear" w:color="auto" w:fill="auto"/>
            <w:vAlign w:val="center"/>
          </w:tcPr>
          <w:p w14:paraId="0583BC6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1018" w:type="dxa"/>
            <w:shd w:val="clear" w:color="auto" w:fill="auto"/>
            <w:vAlign w:val="center"/>
          </w:tcPr>
          <w:p w14:paraId="745DB33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交货日期</w:t>
            </w:r>
          </w:p>
        </w:tc>
        <w:tc>
          <w:tcPr>
            <w:tcW w:w="1071" w:type="dxa"/>
            <w:vAlign w:val="center"/>
          </w:tcPr>
          <w:p w14:paraId="5E6C4FDB">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986" w:type="dxa"/>
            <w:shd w:val="clear" w:color="auto" w:fill="auto"/>
            <w:vAlign w:val="center"/>
          </w:tcPr>
          <w:p w14:paraId="7CA76E8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交货地点</w:t>
            </w:r>
          </w:p>
        </w:tc>
        <w:tc>
          <w:tcPr>
            <w:tcW w:w="2027" w:type="dxa"/>
            <w:shd w:val="clear" w:color="auto" w:fill="auto"/>
            <w:vAlign w:val="center"/>
          </w:tcPr>
          <w:p w14:paraId="6C7176CD">
            <w:pPr>
              <w:widowControl/>
              <w:jc w:val="center"/>
              <w:rPr>
                <w:rFonts w:hint="default" w:ascii="宋体" w:hAnsi="宋体" w:eastAsia="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专用业绩要求</w:t>
            </w:r>
          </w:p>
        </w:tc>
      </w:tr>
      <w:tr w14:paraId="6E74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restart"/>
            <w:vAlign w:val="center"/>
          </w:tcPr>
          <w:p w14:paraId="7E416D7C">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检测单元、操作模组等采购项目</w:t>
            </w:r>
          </w:p>
        </w:tc>
        <w:tc>
          <w:tcPr>
            <w:tcW w:w="1050" w:type="dxa"/>
            <w:shd w:val="clear" w:color="auto" w:fill="auto"/>
            <w:vAlign w:val="center"/>
          </w:tcPr>
          <w:p w14:paraId="6AF49A9D">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检测单元</w:t>
            </w:r>
          </w:p>
        </w:tc>
        <w:tc>
          <w:tcPr>
            <w:tcW w:w="5266" w:type="dxa"/>
            <w:shd w:val="clear" w:color="auto" w:fill="auto"/>
            <w:vAlign w:val="center"/>
          </w:tcPr>
          <w:p w14:paraId="48E2AE2E">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可见光检测 ：</w:t>
            </w:r>
          </w:p>
          <w:p w14:paraId="5EE8B5A4">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1）上传视频分辨率不小于高清1080P</w:t>
            </w:r>
          </w:p>
          <w:p w14:paraId="39096693">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2）最小光学变焦倍数30倍</w:t>
            </w:r>
          </w:p>
          <w:p w14:paraId="43F26A48">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3）可见光摄像机具备自动对焦功能。</w:t>
            </w:r>
          </w:p>
          <w:p w14:paraId="7C65D749">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4）像素200万以上</w:t>
            </w:r>
          </w:p>
          <w:p w14:paraId="6FA9AEF7">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红外检测：</w:t>
            </w:r>
          </w:p>
          <w:p w14:paraId="505EEA7B">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1）红外检测设备成像分辨率不低于640×480</w:t>
            </w:r>
          </w:p>
          <w:p w14:paraId="478E94F3">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2）红外检测设备热灵敏度不低于100mK。</w:t>
            </w:r>
          </w:p>
          <w:p w14:paraId="40D7E54A">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3）红外检测设备测温精度不低于±2 °C（或者量程的±2%）。</w:t>
            </w:r>
          </w:p>
          <w:p w14:paraId="3F0FC471">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4）红外检测设备测温范围–20～+300°C。</w:t>
            </w:r>
          </w:p>
          <w:p w14:paraId="68B7992F">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5）其他要求符合DL/T664中附录H中的规定</w:t>
            </w:r>
          </w:p>
          <w:p w14:paraId="42AD8791">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局放性能：</w:t>
            </w:r>
          </w:p>
          <w:p w14:paraId="4C562163">
            <w:pPr>
              <w:widowControl/>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局放检测方式为超声波（AE）+暂态地电波（TEV）组合的检测方式；能满足现场设备检测全覆盖。局放检测结果展示：局放类型和图谱。</w:t>
            </w:r>
          </w:p>
        </w:tc>
        <w:tc>
          <w:tcPr>
            <w:tcW w:w="754" w:type="dxa"/>
            <w:shd w:val="clear" w:color="auto" w:fill="auto"/>
            <w:vAlign w:val="center"/>
          </w:tcPr>
          <w:p w14:paraId="5376830D">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62B40E54">
            <w:pPr>
              <w:numPr>
                <w:ilvl w:val="0"/>
                <w:numId w:val="0"/>
              </w:numPr>
              <w:spacing w:line="240" w:lineRule="auto"/>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60C0C59E">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4F100994">
            <w:pPr>
              <w:widowControl/>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37E0D0AD">
            <w:pPr>
              <w:widowControl/>
              <w:jc w:val="center"/>
              <w:rPr>
                <w:rFonts w:hint="eastAsia" w:ascii="宋体" w:hAnsi="宋体" w:eastAsia="宋体" w:cs="宋体"/>
                <w:b/>
                <w:bCs/>
                <w:kern w:val="0"/>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restart"/>
            <w:shd w:val="clear" w:color="auto" w:fill="auto"/>
            <w:vAlign w:val="center"/>
          </w:tcPr>
          <w:p w14:paraId="4BBDA0B8">
            <w:pPr>
              <w:widowControl/>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auto"/>
                <w:kern w:val="0"/>
                <w:sz w:val="24"/>
                <w:szCs w:val="24"/>
                <w:highlight w:val="none"/>
              </w:rPr>
              <w:t>业绩要求</w:t>
            </w:r>
            <w:r>
              <w:rPr>
                <w:rFonts w:hint="eastAsia" w:ascii="宋体" w:hAnsi="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2022年1月1日至投标截止日止，完成过机器人或组部件（包含检测单元或运动单元或操作单元）相类似业绩不少于1份，累计金额不少于100万。注:业绩必须提供对应的合同复印件、发票和相应查验截图</w:t>
            </w:r>
          </w:p>
        </w:tc>
      </w:tr>
      <w:tr w14:paraId="2F97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254B8781">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050" w:type="dxa"/>
            <w:shd w:val="clear" w:color="auto" w:fill="auto"/>
            <w:vAlign w:val="center"/>
          </w:tcPr>
          <w:p w14:paraId="7E55D93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操作模组</w:t>
            </w:r>
          </w:p>
        </w:tc>
        <w:tc>
          <w:tcPr>
            <w:tcW w:w="5266" w:type="dxa"/>
            <w:shd w:val="clear" w:color="auto" w:fill="auto"/>
            <w:vAlign w:val="center"/>
          </w:tcPr>
          <w:p w14:paraId="27A4CED2">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机械臂定位精度不低于±0.5mm；</w:t>
            </w:r>
          </w:p>
          <w:p w14:paraId="7F37B8BA">
            <w:pPr>
              <w:widowControl/>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操作高度范围：600~2100mm；</w:t>
            </w:r>
          </w:p>
          <w:p w14:paraId="051D1DA3">
            <w:pPr>
              <w:widowControl/>
              <w:jc w:val="left"/>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具备倒闸操作、应急操作、一键顺控操作功能。</w:t>
            </w:r>
          </w:p>
        </w:tc>
        <w:tc>
          <w:tcPr>
            <w:tcW w:w="754" w:type="dxa"/>
            <w:shd w:val="clear" w:color="auto" w:fill="auto"/>
            <w:vAlign w:val="center"/>
          </w:tcPr>
          <w:p w14:paraId="40743DFA">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588B0CC1">
            <w:pPr>
              <w:numPr>
                <w:ilvl w:val="0"/>
                <w:numId w:val="0"/>
              </w:numPr>
              <w:spacing w:line="240" w:lineRule="auto"/>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0150E179">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0C9E0423">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45200F99">
            <w:pPr>
              <w:widowControl/>
              <w:jc w:val="center"/>
              <w:rPr>
                <w:rFonts w:hint="eastAsia" w:ascii="宋体" w:hAnsi="宋体" w:eastAsia="宋体" w:cs="宋体"/>
                <w:b/>
                <w:bCs/>
                <w:kern w:val="0"/>
                <w:sz w:val="24"/>
                <w:szCs w:val="24"/>
                <w:highlight w:val="none"/>
                <w:lang w:val="en-US" w:eastAsia="zh-CN" w:bidi="ar-SA"/>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continue"/>
            <w:shd w:val="clear" w:color="auto" w:fill="auto"/>
            <w:vAlign w:val="center"/>
          </w:tcPr>
          <w:p w14:paraId="47F7C768">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6B4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6FA87BA2">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050" w:type="dxa"/>
            <w:shd w:val="clear" w:color="auto" w:fill="auto"/>
            <w:vAlign w:val="center"/>
          </w:tcPr>
          <w:p w14:paraId="1FF4C054">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外壳</w:t>
            </w:r>
          </w:p>
        </w:tc>
        <w:tc>
          <w:tcPr>
            <w:tcW w:w="5266" w:type="dxa"/>
            <w:shd w:val="clear" w:color="auto" w:fill="auto"/>
            <w:vAlign w:val="center"/>
          </w:tcPr>
          <w:p w14:paraId="39E710F9">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（1）外壳表面应有保护涂层或防腐设计，外表应光洁、均匀， 不应有伤痕、毛刺等其它缺陷。</w:t>
            </w:r>
          </w:p>
          <w:p w14:paraId="0EDCCE1C">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（2）外壳应采取必要的防静电及防电磁场干扰措施。</w:t>
            </w:r>
          </w:p>
          <w:p w14:paraId="5CF502EA">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（3）外壳和电器部件的外壳均不应带电。</w:t>
            </w:r>
          </w:p>
          <w:p w14:paraId="799700A6">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bidi="ar-SA"/>
              </w:rPr>
              <w:t>（4）内部电气线路应排列整齐、固定牢靠、走向合理，便于安装、维护，并用醒目的颜色和标志加以区分；电气系统不得有漏电现象。</w:t>
            </w:r>
          </w:p>
        </w:tc>
        <w:tc>
          <w:tcPr>
            <w:tcW w:w="754" w:type="dxa"/>
            <w:shd w:val="clear" w:color="auto" w:fill="auto"/>
            <w:vAlign w:val="center"/>
          </w:tcPr>
          <w:p w14:paraId="5A08DE0D">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1763F52B">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1462CDD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44D6E5D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78474493">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continue"/>
            <w:shd w:val="clear" w:color="auto" w:fill="auto"/>
            <w:vAlign w:val="center"/>
          </w:tcPr>
          <w:p w14:paraId="2B9B5B45">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A2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314034DE">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050" w:type="dxa"/>
            <w:shd w:val="clear" w:color="auto" w:fill="auto"/>
            <w:vAlign w:val="center"/>
          </w:tcPr>
          <w:p w14:paraId="00BDACE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通讯模块</w:t>
            </w:r>
          </w:p>
        </w:tc>
        <w:tc>
          <w:tcPr>
            <w:tcW w:w="5266" w:type="dxa"/>
            <w:shd w:val="clear" w:color="auto" w:fill="auto"/>
            <w:vAlign w:val="center"/>
          </w:tcPr>
          <w:p w14:paraId="457AAD34">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两台或两台以上移动式电力智能联动操作平台在同一变电站内工作时，其控制信号应不相互干扰。站内监控后台应可实时、可靠地与移动式电力智能联动操作平台进行数据交互</w:t>
            </w:r>
          </w:p>
        </w:tc>
        <w:tc>
          <w:tcPr>
            <w:tcW w:w="754" w:type="dxa"/>
            <w:shd w:val="clear" w:color="auto" w:fill="auto"/>
            <w:vAlign w:val="center"/>
          </w:tcPr>
          <w:p w14:paraId="3CEAEB8F">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77EC35F1">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7B56B51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15D3A0F7">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66FA79CB">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continue"/>
            <w:shd w:val="clear" w:color="auto" w:fill="auto"/>
            <w:vAlign w:val="center"/>
          </w:tcPr>
          <w:p w14:paraId="0273F966">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F9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0C288E08">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050" w:type="dxa"/>
            <w:shd w:val="clear" w:color="auto" w:fill="auto"/>
            <w:vAlign w:val="center"/>
          </w:tcPr>
          <w:p w14:paraId="70CC4D4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运动导航模组</w:t>
            </w:r>
          </w:p>
        </w:tc>
        <w:tc>
          <w:tcPr>
            <w:tcW w:w="5266" w:type="dxa"/>
            <w:shd w:val="clear" w:color="auto" w:fill="auto"/>
            <w:vAlign w:val="center"/>
          </w:tcPr>
          <w:p w14:paraId="073815D1">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val="zh-CN"/>
              </w:rPr>
              <w:t>实现高精度无轨自主导航；</w:t>
            </w:r>
          </w:p>
          <w:p w14:paraId="1AFAE628">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在水平地面上的最大速度应不小于1 m/s；</w:t>
            </w:r>
          </w:p>
          <w:p w14:paraId="0CA9F482">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最小转弯直径应不大于其本身长度的2倍；</w:t>
            </w:r>
          </w:p>
          <w:p w14:paraId="5D68FCAC">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爬坡能力应不小于5度；</w:t>
            </w:r>
          </w:p>
          <w:p w14:paraId="0B4B0C1A">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具备越障能力，越障高度不低于10mm；</w:t>
            </w:r>
          </w:p>
          <w:p w14:paraId="52764DED">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重复导航定位误差不大于±10mm。</w:t>
            </w:r>
          </w:p>
        </w:tc>
        <w:tc>
          <w:tcPr>
            <w:tcW w:w="754" w:type="dxa"/>
            <w:shd w:val="clear" w:color="auto" w:fill="auto"/>
            <w:vAlign w:val="center"/>
          </w:tcPr>
          <w:p w14:paraId="7E9DCDDB">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5B017C24">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3889888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59C6E81B">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4E7B7C9D">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continue"/>
            <w:shd w:val="clear" w:color="auto" w:fill="auto"/>
            <w:vAlign w:val="center"/>
          </w:tcPr>
          <w:p w14:paraId="2DD3F96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8B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227D9ED2">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050" w:type="dxa"/>
            <w:shd w:val="clear" w:color="auto" w:fill="auto"/>
            <w:vAlign w:val="center"/>
          </w:tcPr>
          <w:p w14:paraId="617743D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充电桩</w:t>
            </w:r>
          </w:p>
        </w:tc>
        <w:tc>
          <w:tcPr>
            <w:tcW w:w="5266" w:type="dxa"/>
            <w:shd w:val="clear" w:color="auto" w:fill="auto"/>
            <w:vAlign w:val="center"/>
          </w:tcPr>
          <w:p w14:paraId="325E3FD1">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输入电压：AC220V；输出功率≥2KW；</w:t>
            </w:r>
          </w:p>
          <w:p w14:paraId="683F8AD5">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输出电压：DC36~60V；输出电流：0~50A；</w:t>
            </w:r>
          </w:p>
          <w:p w14:paraId="5A76F029">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充电桩具备电池反接保护、输出短路保护、输出过压保护、过温保护。</w:t>
            </w:r>
          </w:p>
        </w:tc>
        <w:tc>
          <w:tcPr>
            <w:tcW w:w="754" w:type="dxa"/>
            <w:shd w:val="clear" w:color="auto" w:fill="auto"/>
            <w:vAlign w:val="center"/>
          </w:tcPr>
          <w:p w14:paraId="3CBE08E9">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5A7FC56A">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2265F4F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1D145838">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07F51F80">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continue"/>
            <w:shd w:val="clear" w:color="auto" w:fill="auto"/>
            <w:vAlign w:val="center"/>
          </w:tcPr>
          <w:p w14:paraId="21453A61">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3B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0" w:type="dxa"/>
            <w:vMerge w:val="continue"/>
            <w:vAlign w:val="center"/>
          </w:tcPr>
          <w:p w14:paraId="1D3449E6">
            <w:pPr>
              <w:widowControl/>
              <w:jc w:val="center"/>
              <w:rPr>
                <w:rFonts w:hint="eastAsia" w:ascii="宋体" w:hAnsi="宋体" w:eastAsia="宋体" w:cs="宋体"/>
                <w:i w:val="0"/>
                <w:iCs w:val="0"/>
                <w:color w:val="000000"/>
                <w:kern w:val="0"/>
                <w:sz w:val="24"/>
                <w:szCs w:val="24"/>
                <w:highlight w:val="none"/>
                <w:u w:val="none"/>
                <w:lang w:val="en-US" w:eastAsia="zh-CN" w:bidi="ar"/>
              </w:rPr>
            </w:pPr>
          </w:p>
        </w:tc>
        <w:tc>
          <w:tcPr>
            <w:tcW w:w="1050" w:type="dxa"/>
            <w:shd w:val="clear" w:color="auto" w:fill="auto"/>
            <w:vAlign w:val="center"/>
          </w:tcPr>
          <w:p w14:paraId="3C82996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通讯组网设备</w:t>
            </w:r>
          </w:p>
        </w:tc>
        <w:tc>
          <w:tcPr>
            <w:tcW w:w="5266" w:type="dxa"/>
            <w:shd w:val="clear" w:color="auto" w:fill="auto"/>
            <w:vAlign w:val="center"/>
          </w:tcPr>
          <w:p w14:paraId="208BDBA6">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站内监控后台和集控主站经通信组网设备可实时、可靠与</w:t>
            </w:r>
            <w:bookmarkStart w:id="0" w:name="OLE_LINK5"/>
            <w:r>
              <w:rPr>
                <w:rFonts w:hint="eastAsia" w:ascii="宋体" w:hAnsi="宋体" w:eastAsia="宋体" w:cs="宋体"/>
                <w:kern w:val="0"/>
                <w:sz w:val="24"/>
                <w:szCs w:val="24"/>
                <w:highlight w:val="none"/>
                <w:lang w:val="en-US" w:eastAsia="zh-CN" w:bidi="ar-SA"/>
              </w:rPr>
              <w:t>移动式电力智能联动操作平台</w:t>
            </w:r>
            <w:bookmarkEnd w:id="0"/>
            <w:r>
              <w:rPr>
                <w:rFonts w:hint="eastAsia" w:ascii="宋体" w:hAnsi="宋体" w:eastAsia="宋体" w:cs="宋体"/>
                <w:kern w:val="0"/>
                <w:sz w:val="24"/>
                <w:szCs w:val="24"/>
                <w:highlight w:val="none"/>
                <w:lang w:val="en-US" w:eastAsia="zh-CN" w:bidi="ar-SA"/>
              </w:rPr>
              <w:t>进行数据交互。</w:t>
            </w:r>
          </w:p>
          <w:p w14:paraId="25698A70">
            <w:pPr>
              <w:pStyle w:val="15"/>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支持移动式电力智能联动操作平台以超五类屏蔽RJ45网线方式接入安全Ⅰ、Ⅱ区和Ⅳ区。</w:t>
            </w:r>
          </w:p>
        </w:tc>
        <w:tc>
          <w:tcPr>
            <w:tcW w:w="754" w:type="dxa"/>
            <w:shd w:val="clear" w:color="auto" w:fill="auto"/>
            <w:vAlign w:val="center"/>
          </w:tcPr>
          <w:p w14:paraId="42DC21A2">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套</w:t>
            </w:r>
          </w:p>
        </w:tc>
        <w:tc>
          <w:tcPr>
            <w:tcW w:w="836" w:type="dxa"/>
            <w:shd w:val="clear" w:color="auto" w:fill="auto"/>
            <w:vAlign w:val="center"/>
          </w:tcPr>
          <w:p w14:paraId="5FCB3B4F">
            <w:pPr>
              <w:numPr>
                <w:ilvl w:val="0"/>
                <w:numId w:val="0"/>
              </w:numPr>
              <w:spacing w:line="240" w:lineRule="auto"/>
              <w:ind w:left="0" w:leftChars="0" w:firstLine="0" w:firstLineChars="0"/>
              <w:jc w:val="center"/>
              <w:outlineLvl w:val="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p>
        </w:tc>
        <w:tc>
          <w:tcPr>
            <w:tcW w:w="1018" w:type="dxa"/>
            <w:shd w:val="clear" w:color="auto" w:fill="auto"/>
            <w:vAlign w:val="center"/>
          </w:tcPr>
          <w:p w14:paraId="0838FC7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接供货通知后1</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日内</w:t>
            </w:r>
          </w:p>
        </w:tc>
        <w:tc>
          <w:tcPr>
            <w:tcW w:w="1071" w:type="dxa"/>
            <w:vAlign w:val="center"/>
          </w:tcPr>
          <w:p w14:paraId="371270FA">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w:t>
            </w:r>
            <w:r>
              <w:rPr>
                <w:rFonts w:hint="eastAsia" w:ascii="宋体" w:hAnsi="宋体" w:eastAsia="宋体" w:cs="宋体"/>
                <w:kern w:val="0"/>
                <w:sz w:val="24"/>
                <w:szCs w:val="24"/>
                <w:highlight w:val="none"/>
              </w:rPr>
              <w:t>个月</w:t>
            </w:r>
          </w:p>
        </w:tc>
        <w:tc>
          <w:tcPr>
            <w:tcW w:w="986" w:type="dxa"/>
            <w:shd w:val="clear" w:color="auto" w:fill="auto"/>
            <w:vAlign w:val="center"/>
          </w:tcPr>
          <w:p w14:paraId="6DCBBE5A">
            <w:pPr>
              <w:widowControl/>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买方指定地点</w:t>
            </w:r>
          </w:p>
        </w:tc>
        <w:tc>
          <w:tcPr>
            <w:tcW w:w="2027" w:type="dxa"/>
            <w:vMerge w:val="continue"/>
            <w:shd w:val="clear" w:color="auto" w:fill="auto"/>
            <w:vAlign w:val="center"/>
          </w:tcPr>
          <w:p w14:paraId="48BAFEF9">
            <w:pPr>
              <w:widowControl/>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43A856D9">
      <w:pPr>
        <w:pStyle w:val="15"/>
        <w:numPr>
          <w:ilvl w:val="0"/>
          <w:numId w:val="0"/>
        </w:numPr>
        <w:spacing w:line="240" w:lineRule="auto"/>
        <w:ind w:leftChars="-17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7CAF4D30">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2447D73D">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p w14:paraId="78A3B56D">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rPr>
        <w:t>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r>
        <w:rPr>
          <w:rFonts w:hint="eastAsia" w:ascii="宋体" w:hAnsi="宋体" w:eastAsia="宋体" w:cs="宋体"/>
          <w:color w:val="000000"/>
          <w:sz w:val="24"/>
          <w:szCs w:val="24"/>
          <w:highlight w:val="none"/>
        </w:rPr>
        <w:br w:type="textWrapping"/>
      </w:r>
      <w:r>
        <w:rPr>
          <w:rFonts w:hint="eastAsia" w:ascii="宋体" w:hAnsi="宋体" w:eastAsia="宋体" w:cs="宋体"/>
          <w:color w:val="000000"/>
          <w:sz w:val="24"/>
          <w:szCs w:val="24"/>
          <w:highlight w:val="none"/>
        </w:rPr>
        <w:t>2.投标文件中提供的证明材料复印件应复印清晰、可辨认且不得遮盖、涂抹，否则视为无效。</w:t>
      </w:r>
    </w:p>
    <w:p w14:paraId="54A2915A">
      <w:pPr>
        <w:keepNext w:val="0"/>
        <w:keepLines w:val="0"/>
        <w:pageBreakBefore w:val="0"/>
        <w:shd w:val="clea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w:t>
      </w:r>
      <w:r>
        <w:rPr>
          <w:rFonts w:hint="eastAsia" w:ascii="宋体" w:hAnsi="宋体" w:eastAsia="宋体" w:cs="宋体"/>
          <w:color w:val="auto"/>
          <w:sz w:val="24"/>
          <w:szCs w:val="24"/>
          <w:highlight w:val="none"/>
          <w:lang w:val="en-US" w:eastAsia="zh-CN"/>
        </w:rPr>
        <w:t>求”中要求的时间的业绩不予认可。所有业绩支撑证明材料内容须保证清晰、可辨认且不得遮盖、涂抹。</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5844">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30B075">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30B075">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018AA4FA">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018AA4FA">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63377EE"/>
    <w:rsid w:val="07563215"/>
    <w:rsid w:val="0A8B5858"/>
    <w:rsid w:val="0C9566ED"/>
    <w:rsid w:val="10C017AC"/>
    <w:rsid w:val="11EF4173"/>
    <w:rsid w:val="16267F4A"/>
    <w:rsid w:val="17252504"/>
    <w:rsid w:val="17832749"/>
    <w:rsid w:val="17BF0AB1"/>
    <w:rsid w:val="188E6C44"/>
    <w:rsid w:val="18E776A7"/>
    <w:rsid w:val="22BC120E"/>
    <w:rsid w:val="22F71DBE"/>
    <w:rsid w:val="23104F3C"/>
    <w:rsid w:val="26BD5819"/>
    <w:rsid w:val="28455ABC"/>
    <w:rsid w:val="2EBF6414"/>
    <w:rsid w:val="3A2F2590"/>
    <w:rsid w:val="3CED70CC"/>
    <w:rsid w:val="3F3136A6"/>
    <w:rsid w:val="42CE694E"/>
    <w:rsid w:val="4AA15384"/>
    <w:rsid w:val="4ABD7A75"/>
    <w:rsid w:val="4D2E620D"/>
    <w:rsid w:val="4F403134"/>
    <w:rsid w:val="50E64EAF"/>
    <w:rsid w:val="50EC207F"/>
    <w:rsid w:val="511E0452"/>
    <w:rsid w:val="51340035"/>
    <w:rsid w:val="516A3318"/>
    <w:rsid w:val="637846F9"/>
    <w:rsid w:val="668F4233"/>
    <w:rsid w:val="699B2708"/>
    <w:rsid w:val="6B0F6C92"/>
    <w:rsid w:val="6B8F54C3"/>
    <w:rsid w:val="72A11576"/>
    <w:rsid w:val="741B4000"/>
    <w:rsid w:val="762519CD"/>
    <w:rsid w:val="779E0348"/>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6085</Words>
  <Characters>6690</Characters>
  <Lines>0</Lines>
  <Paragraphs>0</Paragraphs>
  <TotalTime>3</TotalTime>
  <ScaleCrop>false</ScaleCrop>
  <LinksUpToDate>false</LinksUpToDate>
  <CharactersWithSpaces>6718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佳期如许</cp:lastModifiedBy>
  <dcterms:modified xsi:type="dcterms:W3CDTF">2025-07-15T02:00:46Z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49F0467AD16F4AB799FFAA4BF6E0138B_13</vt:lpwstr>
  </property>
  <property fmtid="{D5CDD505-2E9C-101B-9397-08002B2CF9AE}" pid="4" name="KSOTemplateDocerSaveRecord">
    <vt:lpwstr>eyJoZGlkIjoiMzcwNjJhMjRjNDdiZDcxN2YwM2E3NTkwZGEwYzQ4ZjMiLCJ1c2VySWQiOiIxMTMxODAxOTk4In0=</vt:lpwstr>
  </property>
</Properties>
</file>