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30F58">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0" w:name="_GoBack"/>
      <w:bookmarkEnd w:id="0"/>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tbl>
      <w:tblPr>
        <w:tblStyle w:val="7"/>
        <w:tblW w:w="13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058"/>
        <w:gridCol w:w="4673"/>
        <w:gridCol w:w="762"/>
        <w:gridCol w:w="673"/>
        <w:gridCol w:w="789"/>
        <w:gridCol w:w="923"/>
        <w:gridCol w:w="865"/>
        <w:gridCol w:w="2928"/>
      </w:tblGrid>
      <w:tr w14:paraId="40A3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2" w:type="dxa"/>
            <w:vAlign w:val="center"/>
          </w:tcPr>
          <w:p w14:paraId="5E4FFDD2">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058" w:type="dxa"/>
            <w:shd w:val="clear" w:color="auto" w:fill="auto"/>
            <w:vAlign w:val="center"/>
          </w:tcPr>
          <w:p w14:paraId="1B7CBDB9">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物资名称</w:t>
            </w:r>
          </w:p>
        </w:tc>
        <w:tc>
          <w:tcPr>
            <w:tcW w:w="4673" w:type="dxa"/>
            <w:shd w:val="clear" w:color="auto" w:fill="auto"/>
            <w:vAlign w:val="center"/>
          </w:tcPr>
          <w:p w14:paraId="1563238E">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762" w:type="dxa"/>
            <w:shd w:val="clear" w:color="auto" w:fill="auto"/>
            <w:vAlign w:val="center"/>
          </w:tcPr>
          <w:p w14:paraId="1DFDA314">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673" w:type="dxa"/>
            <w:shd w:val="clear" w:color="auto" w:fill="auto"/>
            <w:vAlign w:val="center"/>
          </w:tcPr>
          <w:p w14:paraId="378C3328">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789" w:type="dxa"/>
            <w:shd w:val="clear" w:color="auto" w:fill="auto"/>
            <w:vAlign w:val="center"/>
          </w:tcPr>
          <w:p w14:paraId="16A8A97C">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交货日期</w:t>
            </w:r>
          </w:p>
        </w:tc>
        <w:tc>
          <w:tcPr>
            <w:tcW w:w="923" w:type="dxa"/>
            <w:vAlign w:val="center"/>
          </w:tcPr>
          <w:p w14:paraId="5B55F213">
            <w:pPr>
              <w:widowControl/>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质保期</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不低于</w:t>
            </w:r>
            <w:r>
              <w:rPr>
                <w:rFonts w:hint="eastAsia" w:ascii="宋体" w:hAnsi="宋体" w:eastAsia="宋体" w:cs="宋体"/>
                <w:b/>
                <w:bCs/>
                <w:kern w:val="0"/>
                <w:sz w:val="24"/>
                <w:szCs w:val="24"/>
                <w:highlight w:val="none"/>
                <w:lang w:eastAsia="zh-CN"/>
              </w:rPr>
              <w:t>）</w:t>
            </w:r>
          </w:p>
        </w:tc>
        <w:tc>
          <w:tcPr>
            <w:tcW w:w="865" w:type="dxa"/>
            <w:shd w:val="clear" w:color="auto" w:fill="auto"/>
            <w:vAlign w:val="center"/>
          </w:tcPr>
          <w:p w14:paraId="51379A35">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交货地点</w:t>
            </w:r>
          </w:p>
        </w:tc>
        <w:tc>
          <w:tcPr>
            <w:tcW w:w="2928" w:type="dxa"/>
            <w:shd w:val="clear" w:color="auto" w:fill="auto"/>
            <w:vAlign w:val="center"/>
          </w:tcPr>
          <w:p w14:paraId="29A58FAF">
            <w:pPr>
              <w:widowControl/>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4BDD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92" w:type="dxa"/>
            <w:vMerge w:val="restart"/>
            <w:vAlign w:val="center"/>
          </w:tcPr>
          <w:p w14:paraId="7EC37DC6">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检测组件、控制单元等采购项目</w:t>
            </w:r>
          </w:p>
        </w:tc>
        <w:tc>
          <w:tcPr>
            <w:tcW w:w="1058" w:type="dxa"/>
            <w:shd w:val="clear" w:color="auto" w:fill="auto"/>
            <w:vAlign w:val="center"/>
          </w:tcPr>
          <w:p w14:paraId="5CF60487">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检测组件</w:t>
            </w:r>
          </w:p>
        </w:tc>
        <w:tc>
          <w:tcPr>
            <w:tcW w:w="4673" w:type="dxa"/>
            <w:shd w:val="clear" w:color="auto" w:fill="auto"/>
            <w:vAlign w:val="center"/>
          </w:tcPr>
          <w:p w14:paraId="1FA5F76D">
            <w:pPr>
              <w:pStyle w:val="12"/>
              <w:keepNext w:val="0"/>
              <w:keepLines w:val="0"/>
              <w:pageBreakBefore w:val="0"/>
              <w:numPr>
                <w:ilvl w:val="1"/>
                <w:numId w:val="0"/>
              </w:numPr>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1.可见光检测</w:t>
            </w:r>
          </w:p>
          <w:p w14:paraId="782E1BF9">
            <w:pPr>
              <w:pStyle w:val="14"/>
              <w:keepNext w:val="0"/>
              <w:keepLines w:val="0"/>
              <w:pageBreakBefore w:val="0"/>
              <w:numPr>
                <w:ilvl w:val="0"/>
                <w:numId w:val="0"/>
              </w:numPr>
              <w:kinsoku/>
              <w:wordWrap/>
              <w:overflowPunct/>
              <w:topLinePunct w:val="0"/>
              <w:autoSpaceDE/>
              <w:autoSpaceDN/>
              <w:bidi w:val="0"/>
              <w:adjustRightInd/>
              <w:snapToGrid/>
              <w:spacing w:before="0" w:beforeLines="0" w:after="0" w:afterLines="0" w:line="240" w:lineRule="auto"/>
              <w:ind w:firstLine="480" w:firstLineChars="200"/>
              <w:textAlignment w:val="auto"/>
              <w:outlineLvl w:val="9"/>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可见光检测应具备如下功能：</w:t>
            </w:r>
          </w:p>
          <w:p w14:paraId="5D146C74">
            <w:pPr>
              <w:pStyle w:val="17"/>
              <w:keepNext w:val="0"/>
              <w:keepLines w:val="0"/>
              <w:pageBreakBefore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机器人应配备可见光摄像机，能对指示灯、开关分合状态及仪表指示等进行采集并将视频实时上传至本地监控系统。上传视频分辨率至少达到高清规范（1080P），且分辨率可手动调整。</w:t>
            </w:r>
          </w:p>
          <w:p w14:paraId="494E5F93">
            <w:pPr>
              <w:pStyle w:val="17"/>
              <w:keepNext w:val="0"/>
              <w:keepLines w:val="0"/>
              <w:pageBreakBefore w:val="0"/>
              <w:numPr>
                <w:ilvl w:val="1"/>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支持视频的播放、停止、重启、抓图、全屏显示等功能。</w:t>
            </w:r>
          </w:p>
          <w:p w14:paraId="48086529">
            <w:pPr>
              <w:pStyle w:val="17"/>
              <w:keepNext w:val="0"/>
              <w:keepLines w:val="0"/>
              <w:pageBreakBefore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最小光学变焦数30倍，可清晰识别表计刻度。</w:t>
            </w:r>
          </w:p>
          <w:p w14:paraId="779B214F">
            <w:pPr>
              <w:pStyle w:val="17"/>
              <w:keepNext w:val="0"/>
              <w:keepLines w:val="0"/>
              <w:pageBreakBefore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应具备遥控手动或自动对焦功能。</w:t>
            </w:r>
          </w:p>
          <w:p w14:paraId="479F0A30">
            <w:pPr>
              <w:pStyle w:val="12"/>
              <w:keepNext w:val="0"/>
              <w:keepLines w:val="0"/>
              <w:pageBreakBefore w:val="0"/>
              <w:numPr>
                <w:ilvl w:val="1"/>
                <w:numId w:val="0"/>
              </w:numPr>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2.红外检测</w:t>
            </w:r>
          </w:p>
          <w:p w14:paraId="6DE6EB0E">
            <w:pPr>
              <w:pStyle w:val="14"/>
              <w:keepNext w:val="0"/>
              <w:keepLines w:val="0"/>
              <w:pageBreakBefore w:val="0"/>
              <w:numPr>
                <w:ilvl w:val="0"/>
                <w:numId w:val="0"/>
              </w:numPr>
              <w:kinsoku/>
              <w:wordWrap/>
              <w:overflowPunct/>
              <w:topLinePunct w:val="0"/>
              <w:autoSpaceDE/>
              <w:autoSpaceDN/>
              <w:bidi w:val="0"/>
              <w:adjustRightInd/>
              <w:snapToGrid/>
              <w:spacing w:before="0" w:beforeLines="0" w:after="0" w:afterLines="0" w:line="240" w:lineRule="auto"/>
              <w:ind w:firstLine="480" w:firstLineChars="200"/>
              <w:textAlignment w:val="auto"/>
              <w:outlineLvl w:val="9"/>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红外检测应具备如下功能：</w:t>
            </w:r>
          </w:p>
          <w:p w14:paraId="58273D82">
            <w:pPr>
              <w:pStyle w:val="17"/>
              <w:keepNext w:val="0"/>
              <w:keepLines w:val="0"/>
              <w:pageBreakBefore w:val="0"/>
              <w:numPr>
                <w:ilvl w:val="1"/>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机器人应配备在线式红外热成像仪，能对室内的电力设备的温度进行采集，并能将红外视频及温度数据实时传输至本地监控系统。</w:t>
            </w:r>
          </w:p>
          <w:p w14:paraId="204746B1">
            <w:pPr>
              <w:pStyle w:val="17"/>
              <w:keepNext w:val="0"/>
              <w:keepLines w:val="0"/>
              <w:pageBreakBefore w:val="0"/>
              <w:numPr>
                <w:ilvl w:val="1"/>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红外检测设备成像分辨率不低于640×480，测温精度不低于±2℃。</w:t>
            </w:r>
          </w:p>
          <w:p w14:paraId="76875DF6">
            <w:pPr>
              <w:pStyle w:val="17"/>
              <w:keepNext w:val="0"/>
              <w:keepLines w:val="0"/>
              <w:pageBreakBefore w:val="0"/>
              <w:numPr>
                <w:ilvl w:val="1"/>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红外热成像仪测温范围-20℃～300℃。</w:t>
            </w:r>
          </w:p>
          <w:p w14:paraId="46949139">
            <w:pPr>
              <w:pStyle w:val="17"/>
              <w:keepNext w:val="0"/>
              <w:keepLines w:val="0"/>
              <w:pageBreakBefore w:val="0"/>
              <w:numPr>
                <w:ilvl w:val="1"/>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热图数据应能在本地监控后台及远程集控后台存储。</w:t>
            </w:r>
          </w:p>
          <w:p w14:paraId="2F844F2E">
            <w:pPr>
              <w:pStyle w:val="17"/>
              <w:keepNext w:val="0"/>
              <w:keepLines w:val="0"/>
              <w:pageBreakBefore w:val="0"/>
              <w:numPr>
                <w:ilvl w:val="1"/>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红外影像应能实时显示影像中温度最高点位置及温度值。</w:t>
            </w:r>
          </w:p>
          <w:p w14:paraId="0881A492">
            <w:pPr>
              <w:pStyle w:val="17"/>
              <w:keepNext w:val="0"/>
              <w:keepLines w:val="0"/>
              <w:pageBreakBefore w:val="0"/>
              <w:numPr>
                <w:ilvl w:val="1"/>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能精准测试被检测对象的温度，并且不受周边其他对象温度的干扰。</w:t>
            </w:r>
          </w:p>
          <w:p w14:paraId="3F4E3333">
            <w:pPr>
              <w:pStyle w:val="12"/>
              <w:keepNext w:val="0"/>
              <w:keepLines w:val="0"/>
              <w:pageBreakBefore w:val="0"/>
              <w:numPr>
                <w:ilvl w:val="1"/>
                <w:numId w:val="0"/>
              </w:numPr>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3.局放检测</w:t>
            </w:r>
          </w:p>
          <w:p w14:paraId="5464D0D6">
            <w:pPr>
              <w:pStyle w:val="14"/>
              <w:keepNext w:val="0"/>
              <w:keepLines w:val="0"/>
              <w:pageBreakBefore w:val="0"/>
              <w:numPr>
                <w:ilvl w:val="0"/>
                <w:numId w:val="0"/>
              </w:numPr>
              <w:kinsoku/>
              <w:wordWrap/>
              <w:overflowPunct/>
              <w:topLinePunct w:val="0"/>
              <w:autoSpaceDE/>
              <w:autoSpaceDN/>
              <w:bidi w:val="0"/>
              <w:adjustRightInd/>
              <w:snapToGrid/>
              <w:spacing w:before="0" w:beforeLines="0" w:after="0" w:afterLines="0" w:line="240" w:lineRule="auto"/>
              <w:ind w:firstLine="480" w:firstLineChars="200"/>
              <w:textAlignment w:val="auto"/>
              <w:outlineLvl w:val="9"/>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局放检测应具备如下功能：</w:t>
            </w:r>
          </w:p>
          <w:p w14:paraId="37475017">
            <w:pPr>
              <w:pStyle w:val="18"/>
              <w:keepNext w:val="0"/>
              <w:keepLines w:val="0"/>
              <w:pageBreakBefore w:val="0"/>
              <w:numPr>
                <w:ilvl w:val="0"/>
                <w:numId w:val="0"/>
              </w:numPr>
              <w:tabs>
                <w:tab w:val="left" w:pos="525"/>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采用地电波+超声波检测方式；</w:t>
            </w:r>
          </w:p>
          <w:p w14:paraId="0AE78CC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局放检测结构最大伸缩长度不低于15cm。</w:t>
            </w:r>
          </w:p>
          <w:p w14:paraId="3A55844D">
            <w:pPr>
              <w:pStyle w:val="2"/>
              <w:numPr>
                <w:ilvl w:val="0"/>
                <w:numId w:val="0"/>
              </w:numPr>
              <w:ind w:leftChars="0"/>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4.云台</w:t>
            </w:r>
          </w:p>
          <w:p w14:paraId="354DABBF">
            <w:pPr>
              <w:pStyle w:val="19"/>
              <w:numPr>
                <w:ilvl w:val="1"/>
                <w:numId w:val="0"/>
              </w:numPr>
              <w:spacing w:before="0" w:after="0" w:line="240" w:lineRule="auto"/>
              <w:ind w:firstLine="480" w:firstLineChars="200"/>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云台应至少具备视觉伺服等提高拍摄准确性的功能，应能根据设备位置校正云台进行二次对焦，确保识别的准确性。</w:t>
            </w:r>
          </w:p>
          <w:p w14:paraId="217A93EA">
            <w:pPr>
              <w:pStyle w:val="19"/>
              <w:numPr>
                <w:ilvl w:val="1"/>
                <w:numId w:val="0"/>
              </w:numPr>
              <w:spacing w:before="0" w:after="0" w:line="240" w:lineRule="auto"/>
              <w:ind w:firstLine="480" w:firstLineChars="200"/>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云台应具有垂直和水平旋转自由度，垂直旋转范围：0~255°，</w:t>
            </w:r>
          </w:p>
          <w:p w14:paraId="5477BAA8">
            <w:pPr>
              <w:pStyle w:val="19"/>
              <w:numPr>
                <w:ilvl w:val="1"/>
                <w:numId w:val="0"/>
              </w:numPr>
              <w:spacing w:before="0" w:after="0" w:line="240" w:lineRule="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水平旋转范围：0~320°。</w:t>
            </w:r>
          </w:p>
          <w:p w14:paraId="40495820">
            <w:pPr>
              <w:pStyle w:val="19"/>
              <w:numPr>
                <w:ilvl w:val="1"/>
                <w:numId w:val="0"/>
              </w:numPr>
              <w:spacing w:before="0" w:after="0" w:line="24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视觉伺服：利用机器人摄像机拍摄的画面，对云台的方向进行调整，以提高拍摄目标在画面中位置的准确性。</w:t>
            </w:r>
          </w:p>
        </w:tc>
        <w:tc>
          <w:tcPr>
            <w:tcW w:w="762" w:type="dxa"/>
            <w:shd w:val="clear" w:color="auto" w:fill="auto"/>
            <w:vAlign w:val="center"/>
          </w:tcPr>
          <w:p w14:paraId="5CF38CA1">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套</w:t>
            </w:r>
          </w:p>
        </w:tc>
        <w:tc>
          <w:tcPr>
            <w:tcW w:w="673" w:type="dxa"/>
            <w:shd w:val="clear" w:color="auto" w:fill="auto"/>
            <w:vAlign w:val="center"/>
          </w:tcPr>
          <w:p w14:paraId="70768028">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w:t>
            </w:r>
          </w:p>
        </w:tc>
        <w:tc>
          <w:tcPr>
            <w:tcW w:w="789" w:type="dxa"/>
            <w:shd w:val="clear" w:color="auto" w:fill="auto"/>
            <w:vAlign w:val="center"/>
          </w:tcPr>
          <w:p w14:paraId="5D159D51">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923" w:type="dxa"/>
            <w:vAlign w:val="center"/>
          </w:tcPr>
          <w:p w14:paraId="125B97A9">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865" w:type="dxa"/>
            <w:shd w:val="clear" w:color="auto" w:fill="auto"/>
            <w:vAlign w:val="center"/>
          </w:tcPr>
          <w:p w14:paraId="229F3B00">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928" w:type="dxa"/>
            <w:vMerge w:val="restart"/>
            <w:shd w:val="clear" w:color="auto" w:fill="auto"/>
            <w:vAlign w:val="center"/>
          </w:tcPr>
          <w:p w14:paraId="7EFEC69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专用业绩：</w:t>
            </w:r>
            <w:r>
              <w:rPr>
                <w:rFonts w:hint="eastAsia" w:ascii="宋体" w:hAnsi="宋体" w:eastAsia="宋体" w:cs="宋体"/>
                <w:color w:val="auto"/>
                <w:kern w:val="0"/>
                <w:sz w:val="24"/>
                <w:szCs w:val="24"/>
                <w:highlight w:val="none"/>
              </w:rPr>
              <w:t>2022年1月1日至投标截止日止，完成过机器人或组部件（包含</w:t>
            </w:r>
            <w:r>
              <w:rPr>
                <w:rFonts w:hint="eastAsia" w:ascii="宋体" w:hAnsi="宋体" w:eastAsia="宋体" w:cs="宋体"/>
                <w:color w:val="auto"/>
                <w:kern w:val="0"/>
                <w:sz w:val="24"/>
                <w:szCs w:val="24"/>
                <w:highlight w:val="none"/>
                <w:lang w:val="en-US" w:eastAsia="zh-CN"/>
              </w:rPr>
              <w:t>摄像机或工控机或局放设备或传感器</w:t>
            </w:r>
            <w:r>
              <w:rPr>
                <w:rFonts w:hint="eastAsia" w:ascii="宋体" w:hAnsi="宋体" w:eastAsia="宋体" w:cs="宋体"/>
                <w:color w:val="auto"/>
                <w:kern w:val="0"/>
                <w:sz w:val="24"/>
                <w:szCs w:val="24"/>
                <w:highlight w:val="none"/>
              </w:rPr>
              <w:t>）相类似业绩不少于1份，累计金额不低于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0万元。注:业绩必须提供对应的合同复印件、发票和相应查验截图。</w:t>
            </w:r>
          </w:p>
        </w:tc>
      </w:tr>
      <w:tr w14:paraId="263E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2" w:type="dxa"/>
            <w:vMerge w:val="continue"/>
            <w:vAlign w:val="center"/>
          </w:tcPr>
          <w:p w14:paraId="21989867">
            <w:pPr>
              <w:widowControl/>
              <w:jc w:val="center"/>
              <w:rPr>
                <w:rFonts w:hint="eastAsia" w:ascii="宋体" w:hAnsi="宋体" w:eastAsia="宋体" w:cs="宋体"/>
                <w:color w:val="auto"/>
                <w:sz w:val="24"/>
                <w:szCs w:val="24"/>
                <w:highlight w:val="none"/>
                <w:lang w:val="en-US" w:eastAsia="zh-CN"/>
              </w:rPr>
            </w:pPr>
          </w:p>
        </w:tc>
        <w:tc>
          <w:tcPr>
            <w:tcW w:w="1058" w:type="dxa"/>
            <w:shd w:val="clear" w:color="auto" w:fill="auto"/>
            <w:vAlign w:val="center"/>
          </w:tcPr>
          <w:p w14:paraId="55B2EEFF">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供电模组</w:t>
            </w:r>
          </w:p>
        </w:tc>
        <w:tc>
          <w:tcPr>
            <w:tcW w:w="4673" w:type="dxa"/>
            <w:shd w:val="clear" w:color="auto" w:fill="auto"/>
            <w:vAlign w:val="center"/>
          </w:tcPr>
          <w:p w14:paraId="1DBDD7E9">
            <w:pPr>
              <w:pStyle w:val="14"/>
              <w:keepNext w:val="0"/>
              <w:keepLines w:val="0"/>
              <w:pageBreakBefore w:val="0"/>
              <w:numPr>
                <w:ilvl w:val="1"/>
                <w:numId w:val="0"/>
              </w:numPr>
              <w:kinsoku/>
              <w:wordWrap/>
              <w:overflowPunct/>
              <w:topLinePunct w:val="0"/>
              <w:autoSpaceDE/>
              <w:autoSpaceDN/>
              <w:bidi w:val="0"/>
              <w:adjustRightInd/>
              <w:snapToGrid/>
              <w:spacing w:before="0" w:beforeLines="0" w:after="0" w:afterLines="0" w:line="240" w:lineRule="auto"/>
              <w:ind w:leftChars="0"/>
              <w:textAlignment w:val="auto"/>
              <w:outlineLvl w:val="9"/>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1.巡航时间满足7*24小时；</w:t>
            </w:r>
          </w:p>
          <w:p w14:paraId="2DD4935B">
            <w:pPr>
              <w:pStyle w:val="14"/>
              <w:keepNext w:val="0"/>
              <w:keepLines w:val="0"/>
              <w:pageBreakBefore w:val="0"/>
              <w:numPr>
                <w:ilvl w:val="1"/>
                <w:numId w:val="0"/>
              </w:numPr>
              <w:kinsoku/>
              <w:wordWrap/>
              <w:overflowPunct/>
              <w:topLinePunct w:val="0"/>
              <w:autoSpaceDE/>
              <w:autoSpaceDN/>
              <w:bidi w:val="0"/>
              <w:adjustRightInd/>
              <w:snapToGrid/>
              <w:spacing w:before="0" w:beforeLines="0" w:after="0" w:afterLines="0" w:line="240" w:lineRule="auto"/>
              <w:ind w:leftChars="0"/>
              <w:textAlignment w:val="auto"/>
              <w:outlineLvl w:val="9"/>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2.机器人供电方式应稳定、可靠，应采用滑触线供电或轨道取电方式供电，滑触线或者轨道取电异常时，机器人本体具备应急电池供电，可无缝切换，不用重启机器。</w:t>
            </w:r>
          </w:p>
          <w:p w14:paraId="4D6F24B1">
            <w:pPr>
              <w:keepNext w:val="0"/>
              <w:keepLines w:val="0"/>
              <w:pageBreakBefore w:val="0"/>
              <w:widowControl w:val="0"/>
              <w:kinsoku/>
              <w:wordWrap/>
              <w:overflowPunct/>
              <w:topLinePunct w:val="0"/>
              <w:autoSpaceDE/>
              <w:autoSpaceDN/>
              <w:bidi w:val="0"/>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3.电池宜采用锂电池，电压应满足安全电压要求，不应超过24V。</w:t>
            </w:r>
          </w:p>
        </w:tc>
        <w:tc>
          <w:tcPr>
            <w:tcW w:w="762" w:type="dxa"/>
            <w:shd w:val="clear" w:color="auto" w:fill="auto"/>
            <w:vAlign w:val="center"/>
          </w:tcPr>
          <w:p w14:paraId="02884961">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套</w:t>
            </w:r>
          </w:p>
        </w:tc>
        <w:tc>
          <w:tcPr>
            <w:tcW w:w="673" w:type="dxa"/>
            <w:shd w:val="clear" w:color="auto" w:fill="auto"/>
            <w:vAlign w:val="center"/>
          </w:tcPr>
          <w:p w14:paraId="6EB596A2">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w:t>
            </w:r>
          </w:p>
        </w:tc>
        <w:tc>
          <w:tcPr>
            <w:tcW w:w="789" w:type="dxa"/>
            <w:shd w:val="clear" w:color="auto" w:fill="auto"/>
            <w:vAlign w:val="center"/>
          </w:tcPr>
          <w:p w14:paraId="487127B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923" w:type="dxa"/>
            <w:vAlign w:val="center"/>
          </w:tcPr>
          <w:p w14:paraId="2F1CECDB">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865" w:type="dxa"/>
            <w:shd w:val="clear" w:color="auto" w:fill="auto"/>
            <w:vAlign w:val="center"/>
          </w:tcPr>
          <w:p w14:paraId="4132527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928" w:type="dxa"/>
            <w:vMerge w:val="continue"/>
            <w:shd w:val="clear" w:color="auto" w:fill="auto"/>
            <w:vAlign w:val="center"/>
          </w:tcPr>
          <w:p w14:paraId="5AAEDE2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460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2" w:type="dxa"/>
            <w:vMerge w:val="continue"/>
            <w:vAlign w:val="center"/>
          </w:tcPr>
          <w:p w14:paraId="4B0B9642">
            <w:pPr>
              <w:widowControl/>
              <w:jc w:val="center"/>
              <w:rPr>
                <w:rFonts w:hint="eastAsia" w:ascii="宋体" w:hAnsi="宋体" w:eastAsia="宋体" w:cs="宋体"/>
                <w:color w:val="auto"/>
                <w:sz w:val="24"/>
                <w:szCs w:val="24"/>
                <w:highlight w:val="none"/>
                <w:lang w:val="en-US" w:eastAsia="zh-CN"/>
              </w:rPr>
            </w:pPr>
          </w:p>
        </w:tc>
        <w:tc>
          <w:tcPr>
            <w:tcW w:w="1058" w:type="dxa"/>
            <w:shd w:val="clear" w:color="auto" w:fill="auto"/>
            <w:vAlign w:val="center"/>
          </w:tcPr>
          <w:p w14:paraId="6B17CCD9">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外壳</w:t>
            </w:r>
          </w:p>
        </w:tc>
        <w:tc>
          <w:tcPr>
            <w:tcW w:w="4673" w:type="dxa"/>
            <w:shd w:val="clear" w:color="auto" w:fill="auto"/>
            <w:vAlign w:val="center"/>
          </w:tcPr>
          <w:p w14:paraId="18FDDC9B">
            <w:pPr>
              <w:pStyle w:val="13"/>
              <w:numPr>
                <w:ilvl w:val="1"/>
                <w:numId w:val="0"/>
              </w:numPr>
              <w:spacing w:before="0" w:beforeLines="0" w:after="0" w:afterLines="0" w:line="24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机器人表面应有保护涂层或防腐设计，外表应光洁、均匀，不应有伤痕、毛刺等缺陷，标识清晰。机器人本体外壳和电器部件的外壳均不带电。</w:t>
            </w:r>
          </w:p>
        </w:tc>
        <w:tc>
          <w:tcPr>
            <w:tcW w:w="762" w:type="dxa"/>
            <w:shd w:val="clear" w:color="auto" w:fill="auto"/>
            <w:vAlign w:val="center"/>
          </w:tcPr>
          <w:p w14:paraId="5548651A">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套</w:t>
            </w:r>
          </w:p>
        </w:tc>
        <w:tc>
          <w:tcPr>
            <w:tcW w:w="673" w:type="dxa"/>
            <w:shd w:val="clear" w:color="auto" w:fill="auto"/>
            <w:vAlign w:val="center"/>
          </w:tcPr>
          <w:p w14:paraId="16907164">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w:t>
            </w:r>
          </w:p>
        </w:tc>
        <w:tc>
          <w:tcPr>
            <w:tcW w:w="789" w:type="dxa"/>
            <w:shd w:val="clear" w:color="auto" w:fill="auto"/>
            <w:vAlign w:val="center"/>
          </w:tcPr>
          <w:p w14:paraId="4E818C0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923" w:type="dxa"/>
            <w:vAlign w:val="center"/>
          </w:tcPr>
          <w:p w14:paraId="476E3BE8">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865" w:type="dxa"/>
            <w:shd w:val="clear" w:color="auto" w:fill="auto"/>
            <w:vAlign w:val="center"/>
          </w:tcPr>
          <w:p w14:paraId="22D0B34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928" w:type="dxa"/>
            <w:vMerge w:val="continue"/>
            <w:shd w:val="clear" w:color="auto" w:fill="auto"/>
            <w:vAlign w:val="center"/>
          </w:tcPr>
          <w:p w14:paraId="198FB55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D2B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2" w:type="dxa"/>
            <w:vMerge w:val="continue"/>
            <w:vAlign w:val="center"/>
          </w:tcPr>
          <w:p w14:paraId="04680D67">
            <w:pPr>
              <w:widowControl/>
              <w:jc w:val="center"/>
              <w:rPr>
                <w:rFonts w:hint="eastAsia" w:ascii="宋体" w:hAnsi="宋体" w:eastAsia="宋体" w:cs="宋体"/>
                <w:color w:val="auto"/>
                <w:sz w:val="24"/>
                <w:szCs w:val="24"/>
                <w:highlight w:val="none"/>
                <w:lang w:val="en-US" w:eastAsia="zh-CN"/>
              </w:rPr>
            </w:pPr>
          </w:p>
        </w:tc>
        <w:tc>
          <w:tcPr>
            <w:tcW w:w="1058" w:type="dxa"/>
            <w:shd w:val="clear" w:color="auto" w:fill="auto"/>
            <w:vAlign w:val="center"/>
          </w:tcPr>
          <w:p w14:paraId="662944B6">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控制单元</w:t>
            </w:r>
          </w:p>
        </w:tc>
        <w:tc>
          <w:tcPr>
            <w:tcW w:w="4673" w:type="dxa"/>
            <w:shd w:val="clear" w:color="auto" w:fill="auto"/>
            <w:vAlign w:val="center"/>
          </w:tcPr>
          <w:p w14:paraId="45C0AD44">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1.由计算机（服务器）、通讯设备、监控分析软件和数据库等组成，安装于机器人本体、变电站本地或移动终端的用于监控机器人运行的计算机系统。</w:t>
            </w:r>
          </w:p>
          <w:p w14:paraId="1DDBA659">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2.具备一键返航、人机交互、缺陷分析、查询展示等功能。</w:t>
            </w:r>
          </w:p>
          <w:p w14:paraId="62099133">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应提供标准化、一体化的巡检机器人管控平台，采用统一的平台规范标准以及接口规范标准，通过标准化实现平台的高度开放性。一体化管控平台在图形、模型、数据库、消息、服务、系统管理等方面应提供标准化的应用接口，为各种应用提供统一支撑，为系统功能的集成化打下坚实基础，为开发新应用、扩充功能和可持续发展创造条件。</w:t>
            </w:r>
          </w:p>
          <w:p w14:paraId="73C08B96">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一体化的巡检机器人管控平台，应实现机器人管理、巡检任务安排、智能分析、风险预警、辅助决策等功能，促进电网运检生产全过程的精益化、智能化，实现电网运检可视化全景监视、综合智能告警与前瞻预警和协调控制。</w:t>
            </w:r>
          </w:p>
          <w:p w14:paraId="4D19D4AC">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5.一体化的巡检机器人管控平台应能支持两级部署，实现机器人投运变电站集中管控；既能满足站内本地操作需求，又能集中管理辖区部署的机器人，实现数据的集中存储，统一管理。</w:t>
            </w:r>
          </w:p>
          <w:p w14:paraId="0771CE8B">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宋体" w:hAnsi="宋体" w:eastAsia="宋体" w:cs="宋体"/>
                <w:sz w:val="24"/>
                <w:szCs w:val="24"/>
                <w:highlight w:val="none"/>
                <w:lang w:val="en-US" w:eastAsia="zh-CN"/>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6.软件平台要满足电力安全接入辅助监控系统巡检系统及集控站要求。</w:t>
            </w:r>
          </w:p>
        </w:tc>
        <w:tc>
          <w:tcPr>
            <w:tcW w:w="762" w:type="dxa"/>
            <w:shd w:val="clear" w:color="auto" w:fill="auto"/>
            <w:vAlign w:val="center"/>
          </w:tcPr>
          <w:p w14:paraId="6F12B4EA">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套</w:t>
            </w:r>
          </w:p>
        </w:tc>
        <w:tc>
          <w:tcPr>
            <w:tcW w:w="673" w:type="dxa"/>
            <w:shd w:val="clear" w:color="auto" w:fill="auto"/>
            <w:vAlign w:val="center"/>
          </w:tcPr>
          <w:p w14:paraId="5A945A4F">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w:t>
            </w:r>
          </w:p>
        </w:tc>
        <w:tc>
          <w:tcPr>
            <w:tcW w:w="789" w:type="dxa"/>
            <w:shd w:val="clear" w:color="auto" w:fill="auto"/>
            <w:vAlign w:val="center"/>
          </w:tcPr>
          <w:p w14:paraId="6D05A22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923" w:type="dxa"/>
            <w:vAlign w:val="center"/>
          </w:tcPr>
          <w:p w14:paraId="5418F9CB">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865" w:type="dxa"/>
            <w:shd w:val="clear" w:color="auto" w:fill="auto"/>
            <w:vAlign w:val="center"/>
          </w:tcPr>
          <w:p w14:paraId="286156A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928" w:type="dxa"/>
            <w:vMerge w:val="continue"/>
            <w:shd w:val="clear" w:color="auto" w:fill="auto"/>
            <w:vAlign w:val="center"/>
          </w:tcPr>
          <w:p w14:paraId="190368B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ADA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2" w:type="dxa"/>
            <w:vMerge w:val="continue"/>
            <w:vAlign w:val="center"/>
          </w:tcPr>
          <w:p w14:paraId="1A581633">
            <w:pPr>
              <w:widowControl/>
              <w:jc w:val="center"/>
              <w:rPr>
                <w:rFonts w:hint="eastAsia" w:ascii="宋体" w:hAnsi="宋体" w:eastAsia="宋体" w:cs="宋体"/>
                <w:color w:val="auto"/>
                <w:sz w:val="24"/>
                <w:szCs w:val="24"/>
                <w:highlight w:val="none"/>
                <w:lang w:val="en-US" w:eastAsia="zh-CN"/>
              </w:rPr>
            </w:pPr>
          </w:p>
        </w:tc>
        <w:tc>
          <w:tcPr>
            <w:tcW w:w="1058" w:type="dxa"/>
            <w:shd w:val="clear" w:color="auto" w:fill="auto"/>
            <w:vAlign w:val="center"/>
          </w:tcPr>
          <w:p w14:paraId="63EEBBB8">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运动组件</w:t>
            </w:r>
          </w:p>
        </w:tc>
        <w:tc>
          <w:tcPr>
            <w:tcW w:w="4673" w:type="dxa"/>
            <w:shd w:val="clear" w:color="auto" w:fill="auto"/>
            <w:vAlign w:val="center"/>
          </w:tcPr>
          <w:p w14:paraId="3C0249FE">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1.应采用轨道式驱动，最大行走速度不小于0.8m/s。</w:t>
            </w:r>
          </w:p>
          <w:p w14:paraId="57C8AFB4">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2.机器人重复定位误差不大于±2mm。</w:t>
            </w:r>
          </w:p>
          <w:p w14:paraId="046ACE2A">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3.机器人移动平台应具备前后直行、转弯、制动等基本运动功能。</w:t>
            </w:r>
          </w:p>
          <w:p w14:paraId="607498D3">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最小转弯半径应不大于0.3m。</w:t>
            </w:r>
          </w:p>
          <w:p w14:paraId="77AA025A">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4.机器人应具备升降能力，升降范围不低于1.6m。</w:t>
            </w:r>
          </w:p>
          <w:p w14:paraId="3F6E8B7F">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5.在0.2m/s的运动速度下，制动距离不大于0.15m。</w:t>
            </w:r>
          </w:p>
        </w:tc>
        <w:tc>
          <w:tcPr>
            <w:tcW w:w="762" w:type="dxa"/>
            <w:shd w:val="clear" w:color="auto" w:fill="auto"/>
            <w:vAlign w:val="center"/>
          </w:tcPr>
          <w:p w14:paraId="0F41596A">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套</w:t>
            </w:r>
          </w:p>
        </w:tc>
        <w:tc>
          <w:tcPr>
            <w:tcW w:w="673" w:type="dxa"/>
            <w:shd w:val="clear" w:color="auto" w:fill="auto"/>
            <w:vAlign w:val="center"/>
          </w:tcPr>
          <w:p w14:paraId="27D4185A">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w:t>
            </w:r>
          </w:p>
        </w:tc>
        <w:tc>
          <w:tcPr>
            <w:tcW w:w="789" w:type="dxa"/>
            <w:shd w:val="clear" w:color="auto" w:fill="auto"/>
            <w:vAlign w:val="center"/>
          </w:tcPr>
          <w:p w14:paraId="62A91C3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923" w:type="dxa"/>
            <w:vAlign w:val="center"/>
          </w:tcPr>
          <w:p w14:paraId="3C6BAD53">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865" w:type="dxa"/>
            <w:shd w:val="clear" w:color="auto" w:fill="auto"/>
            <w:vAlign w:val="center"/>
          </w:tcPr>
          <w:p w14:paraId="0D36041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928" w:type="dxa"/>
            <w:vMerge w:val="continue"/>
            <w:shd w:val="clear" w:color="auto" w:fill="auto"/>
            <w:vAlign w:val="center"/>
          </w:tcPr>
          <w:p w14:paraId="5FD3FDC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D51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2" w:type="dxa"/>
            <w:vMerge w:val="continue"/>
            <w:vAlign w:val="center"/>
          </w:tcPr>
          <w:p w14:paraId="438C307B">
            <w:pPr>
              <w:widowControl/>
              <w:jc w:val="center"/>
              <w:rPr>
                <w:rFonts w:hint="eastAsia" w:ascii="宋体" w:hAnsi="宋体" w:eastAsia="宋体" w:cs="宋体"/>
                <w:color w:val="auto"/>
                <w:sz w:val="24"/>
                <w:szCs w:val="24"/>
                <w:highlight w:val="none"/>
                <w:lang w:val="en-US" w:eastAsia="zh-CN"/>
              </w:rPr>
            </w:pPr>
          </w:p>
        </w:tc>
        <w:tc>
          <w:tcPr>
            <w:tcW w:w="1058" w:type="dxa"/>
            <w:shd w:val="clear" w:color="auto" w:fill="auto"/>
            <w:vAlign w:val="center"/>
          </w:tcPr>
          <w:p w14:paraId="07D666FC">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轨道系统</w:t>
            </w:r>
          </w:p>
        </w:tc>
        <w:tc>
          <w:tcPr>
            <w:tcW w:w="4673" w:type="dxa"/>
            <w:shd w:val="clear" w:color="auto" w:fill="auto"/>
            <w:vAlign w:val="center"/>
          </w:tcPr>
          <w:p w14:paraId="00293800">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轨道采用铝合金型材，可以拼接；</w:t>
            </w:r>
          </w:p>
          <w:p w14:paraId="714FA4EC">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轨道采用支架吊装方式；</w:t>
            </w:r>
          </w:p>
          <w:p w14:paraId="6E96030C">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轨道表面应做阳极氧化处理；</w:t>
            </w:r>
          </w:p>
          <w:p w14:paraId="671F553F">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轨道数量按需提供。</w:t>
            </w:r>
          </w:p>
        </w:tc>
        <w:tc>
          <w:tcPr>
            <w:tcW w:w="762" w:type="dxa"/>
            <w:shd w:val="clear" w:color="auto" w:fill="auto"/>
            <w:vAlign w:val="center"/>
          </w:tcPr>
          <w:p w14:paraId="49126075">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套</w:t>
            </w:r>
          </w:p>
        </w:tc>
        <w:tc>
          <w:tcPr>
            <w:tcW w:w="673" w:type="dxa"/>
            <w:shd w:val="clear" w:color="auto" w:fill="auto"/>
            <w:vAlign w:val="center"/>
          </w:tcPr>
          <w:p w14:paraId="33AA1251">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w:t>
            </w:r>
          </w:p>
        </w:tc>
        <w:tc>
          <w:tcPr>
            <w:tcW w:w="789" w:type="dxa"/>
            <w:shd w:val="clear" w:color="auto" w:fill="auto"/>
            <w:vAlign w:val="center"/>
          </w:tcPr>
          <w:p w14:paraId="68B93B9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923" w:type="dxa"/>
            <w:vAlign w:val="center"/>
          </w:tcPr>
          <w:p w14:paraId="7ECEA315">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865" w:type="dxa"/>
            <w:shd w:val="clear" w:color="auto" w:fill="auto"/>
            <w:vAlign w:val="center"/>
          </w:tcPr>
          <w:p w14:paraId="5DF014D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928" w:type="dxa"/>
            <w:vMerge w:val="continue"/>
            <w:shd w:val="clear" w:color="auto" w:fill="auto"/>
            <w:vAlign w:val="center"/>
          </w:tcPr>
          <w:p w14:paraId="0164BE2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6F2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2" w:type="dxa"/>
            <w:vMerge w:val="continue"/>
            <w:vAlign w:val="center"/>
          </w:tcPr>
          <w:p w14:paraId="183072D5">
            <w:pPr>
              <w:widowControl/>
              <w:jc w:val="center"/>
              <w:rPr>
                <w:rFonts w:hint="eastAsia" w:ascii="宋体" w:hAnsi="宋体" w:eastAsia="宋体" w:cs="宋体"/>
                <w:color w:val="auto"/>
                <w:sz w:val="24"/>
                <w:szCs w:val="24"/>
                <w:highlight w:val="none"/>
                <w:lang w:val="en-US" w:eastAsia="zh-CN"/>
              </w:rPr>
            </w:pPr>
          </w:p>
        </w:tc>
        <w:tc>
          <w:tcPr>
            <w:tcW w:w="1058" w:type="dxa"/>
            <w:shd w:val="clear" w:color="auto" w:fill="auto"/>
            <w:vAlign w:val="center"/>
          </w:tcPr>
          <w:p w14:paraId="30FF532C">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通信单元</w:t>
            </w:r>
          </w:p>
        </w:tc>
        <w:tc>
          <w:tcPr>
            <w:tcW w:w="4673" w:type="dxa"/>
            <w:shd w:val="clear" w:color="auto" w:fill="auto"/>
            <w:vAlign w:val="center"/>
          </w:tcPr>
          <w:p w14:paraId="4CC010EE">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机器人通信方式采用载波通信，可实时传输可见光视频、红外视频，机器人在全部巡检区域内均应和本地监控系统间保持可靠、通畅的通讯。</w:t>
            </w:r>
          </w:p>
        </w:tc>
        <w:tc>
          <w:tcPr>
            <w:tcW w:w="762" w:type="dxa"/>
            <w:shd w:val="clear" w:color="auto" w:fill="auto"/>
            <w:vAlign w:val="center"/>
          </w:tcPr>
          <w:p w14:paraId="322187EE">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套</w:t>
            </w:r>
          </w:p>
        </w:tc>
        <w:tc>
          <w:tcPr>
            <w:tcW w:w="673" w:type="dxa"/>
            <w:shd w:val="clear" w:color="auto" w:fill="auto"/>
            <w:vAlign w:val="center"/>
          </w:tcPr>
          <w:p w14:paraId="40BBE39B">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w:t>
            </w:r>
          </w:p>
        </w:tc>
        <w:tc>
          <w:tcPr>
            <w:tcW w:w="789" w:type="dxa"/>
            <w:shd w:val="clear" w:color="auto" w:fill="auto"/>
            <w:vAlign w:val="center"/>
          </w:tcPr>
          <w:p w14:paraId="2432434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923" w:type="dxa"/>
            <w:vAlign w:val="center"/>
          </w:tcPr>
          <w:p w14:paraId="3F5887FA">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865" w:type="dxa"/>
            <w:shd w:val="clear" w:color="auto" w:fill="auto"/>
            <w:vAlign w:val="center"/>
          </w:tcPr>
          <w:p w14:paraId="0224BFE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928" w:type="dxa"/>
            <w:vMerge w:val="continue"/>
            <w:shd w:val="clear" w:color="auto" w:fill="auto"/>
            <w:vAlign w:val="center"/>
          </w:tcPr>
          <w:p w14:paraId="585537C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114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2" w:type="dxa"/>
            <w:vMerge w:val="continue"/>
            <w:vAlign w:val="center"/>
          </w:tcPr>
          <w:p w14:paraId="4E179681">
            <w:pPr>
              <w:widowControl/>
              <w:jc w:val="center"/>
              <w:rPr>
                <w:rFonts w:hint="eastAsia" w:ascii="宋体" w:hAnsi="宋体" w:eastAsia="宋体" w:cs="宋体"/>
                <w:color w:val="auto"/>
                <w:sz w:val="24"/>
                <w:szCs w:val="24"/>
                <w:highlight w:val="none"/>
                <w:lang w:val="en-US" w:eastAsia="zh-CN"/>
              </w:rPr>
            </w:pPr>
          </w:p>
        </w:tc>
        <w:tc>
          <w:tcPr>
            <w:tcW w:w="1058" w:type="dxa"/>
            <w:shd w:val="clear" w:color="auto" w:fill="auto"/>
            <w:vAlign w:val="center"/>
          </w:tcPr>
          <w:p w14:paraId="6C80BF52">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防碰撞模块</w:t>
            </w:r>
          </w:p>
        </w:tc>
        <w:tc>
          <w:tcPr>
            <w:tcW w:w="4673" w:type="dxa"/>
            <w:shd w:val="clear" w:color="auto" w:fill="auto"/>
            <w:vAlign w:val="center"/>
          </w:tcPr>
          <w:p w14:paraId="2B15DBDD">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机器人应具有前进、后退、下降三个方向的障碍物检测功能，在行走过程中如遇到障碍物应及时停止，障碍物移除后应能恢复行走。</w:t>
            </w:r>
          </w:p>
        </w:tc>
        <w:tc>
          <w:tcPr>
            <w:tcW w:w="762" w:type="dxa"/>
            <w:shd w:val="clear" w:color="auto" w:fill="auto"/>
            <w:vAlign w:val="center"/>
          </w:tcPr>
          <w:p w14:paraId="1935EC94">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套</w:t>
            </w:r>
          </w:p>
        </w:tc>
        <w:tc>
          <w:tcPr>
            <w:tcW w:w="673" w:type="dxa"/>
            <w:shd w:val="clear" w:color="auto" w:fill="auto"/>
            <w:vAlign w:val="center"/>
          </w:tcPr>
          <w:p w14:paraId="4347696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789" w:type="dxa"/>
            <w:shd w:val="clear" w:color="auto" w:fill="auto"/>
            <w:vAlign w:val="center"/>
          </w:tcPr>
          <w:p w14:paraId="22DB3CF1">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923" w:type="dxa"/>
            <w:vAlign w:val="center"/>
          </w:tcPr>
          <w:p w14:paraId="661AA5D4">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865" w:type="dxa"/>
            <w:shd w:val="clear" w:color="auto" w:fill="auto"/>
            <w:vAlign w:val="center"/>
          </w:tcPr>
          <w:p w14:paraId="24672E27">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928" w:type="dxa"/>
            <w:vMerge w:val="continue"/>
            <w:shd w:val="clear" w:color="auto" w:fill="auto"/>
            <w:vAlign w:val="center"/>
          </w:tcPr>
          <w:p w14:paraId="6757B60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74399C9A">
      <w:pPr>
        <w:pStyle w:val="20"/>
        <w:numPr>
          <w:ilvl w:val="0"/>
          <w:numId w:val="0"/>
        </w:numPr>
        <w:spacing w:line="240" w:lineRule="auto"/>
        <w:ind w:leftChars="-170"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3BE50BD4">
      <w:pPr>
        <w:pStyle w:val="9"/>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p>
    <w:p w14:paraId="1E7E1F1D">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0DD2F9B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3C80E885">
      <w:pP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B6233B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3A29746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27C1F">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298B71">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7298B71">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68947F34">
    <w:pPr>
      <w:pStyle w:val="2"/>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ECD4D">
    <w:pPr>
      <w:pStyle w:val="6"/>
      <w:pBdr>
        <w:bottom w:val="none" w:color="auto" w:sz="0" w:space="0"/>
      </w:pBdr>
      <w:spacing w:beforeLines="0" w:afterLines="0"/>
      <w:ind w:firstLine="360"/>
      <w:rPr>
        <w:rFonts w:hint="defaul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2190F"/>
    <w:multiLevelType w:val="multilevel"/>
    <w:tmpl w:val="2052190F"/>
    <w:lvl w:ilvl="0" w:tentative="0">
      <w:start w:val="1"/>
      <w:numFmt w:val="japaneseCounting"/>
      <w:lvlText w:val="%1、"/>
      <w:lvlJc w:val="left"/>
      <w:pPr>
        <w:ind w:left="432" w:hanging="432"/>
      </w:pPr>
      <w:rPr>
        <w:rFonts w:hint="default"/>
      </w:rPr>
    </w:lvl>
    <w:lvl w:ilvl="1" w:tentative="0">
      <w:start w:val="1"/>
      <w:numFmt w:val="lowerLetter"/>
      <w:pStyle w:val="1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C50F90"/>
    <w:multiLevelType w:val="multilevel"/>
    <w:tmpl w:val="44C50F9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9"/>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121A6680"/>
    <w:rsid w:val="145B03B7"/>
    <w:rsid w:val="14C56718"/>
    <w:rsid w:val="162E3793"/>
    <w:rsid w:val="1F673085"/>
    <w:rsid w:val="20C0137D"/>
    <w:rsid w:val="23BB7539"/>
    <w:rsid w:val="29614FC6"/>
    <w:rsid w:val="2B3202B6"/>
    <w:rsid w:val="2F2035FE"/>
    <w:rsid w:val="2FE42AFC"/>
    <w:rsid w:val="39444C4F"/>
    <w:rsid w:val="3CBC7B0B"/>
    <w:rsid w:val="3DA90A2C"/>
    <w:rsid w:val="46ED73AD"/>
    <w:rsid w:val="482A26BE"/>
    <w:rsid w:val="48A6459C"/>
    <w:rsid w:val="4A05330E"/>
    <w:rsid w:val="4C9B7E3A"/>
    <w:rsid w:val="4DCD55A0"/>
    <w:rsid w:val="4F6507F6"/>
    <w:rsid w:val="526E69C5"/>
    <w:rsid w:val="5418605D"/>
    <w:rsid w:val="58DF2D56"/>
    <w:rsid w:val="5A0C2BCB"/>
    <w:rsid w:val="5EF64196"/>
    <w:rsid w:val="65567F00"/>
    <w:rsid w:val="67587252"/>
    <w:rsid w:val="67F529D1"/>
    <w:rsid w:val="6B5F79E3"/>
    <w:rsid w:val="70E6518F"/>
    <w:rsid w:val="7243025C"/>
    <w:rsid w:val="75B5122E"/>
    <w:rsid w:val="7EC23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3">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4"/>
    </w:rPr>
  </w:style>
  <w:style w:type="paragraph" w:styleId="4">
    <w:name w:val="annotation text"/>
    <w:basedOn w:val="1"/>
    <w:autoRedefine/>
    <w:qFormat/>
    <w:uiPriority w:val="0"/>
    <w:pPr>
      <w:jc w:val="left"/>
    </w:p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三级条标题"/>
    <w:basedOn w:val="13"/>
    <w:next w:val="16"/>
    <w:autoRedefine/>
    <w:qFormat/>
    <w:uiPriority w:val="0"/>
    <w:pPr>
      <w:tabs>
        <w:tab w:val="left" w:pos="57"/>
        <w:tab w:val="left" w:pos="420"/>
        <w:tab w:val="left" w:pos="525"/>
        <w:tab w:val="left" w:pos="945"/>
      </w:tabs>
      <w:outlineLvl w:val="4"/>
    </w:pPr>
  </w:style>
  <w:style w:type="paragraph" w:customStyle="1" w:styleId="13">
    <w:name w:val="二级条标题"/>
    <w:basedOn w:val="14"/>
    <w:next w:val="16"/>
    <w:autoRedefine/>
    <w:qFormat/>
    <w:uiPriority w:val="0"/>
    <w:pPr>
      <w:tabs>
        <w:tab w:val="left" w:pos="57"/>
        <w:tab w:val="left" w:pos="420"/>
        <w:tab w:val="left" w:pos="525"/>
      </w:tabs>
      <w:outlineLvl w:val="3"/>
    </w:pPr>
  </w:style>
  <w:style w:type="paragraph" w:customStyle="1" w:styleId="14">
    <w:name w:val="一级条标题"/>
    <w:basedOn w:val="15"/>
    <w:next w:val="16"/>
    <w:autoRedefine/>
    <w:qFormat/>
    <w:uiPriority w:val="0"/>
    <w:pPr>
      <w:tabs>
        <w:tab w:val="left" w:pos="57"/>
        <w:tab w:val="left" w:pos="420"/>
        <w:tab w:val="left" w:pos="525"/>
      </w:tabs>
      <w:spacing w:before="0" w:beforeLines="0"/>
      <w:outlineLvl w:val="2"/>
    </w:pPr>
  </w:style>
  <w:style w:type="paragraph" w:customStyle="1" w:styleId="15">
    <w:name w:val="章标题"/>
    <w:next w:val="16"/>
    <w:autoRedefine/>
    <w:qFormat/>
    <w:uiPriority w:val="0"/>
    <w:pPr>
      <w:numPr>
        <w:ilvl w:val="1"/>
        <w:numId w:val="1"/>
      </w:numPr>
      <w:tabs>
        <w:tab w:val="left" w:pos="57"/>
        <w:tab w:val="left" w:pos="420"/>
      </w:tabs>
      <w:spacing w:before="156" w:beforeLines="50" w:after="156" w:afterLines="50"/>
      <w:jc w:val="both"/>
      <w:outlineLvl w:val="1"/>
    </w:pPr>
    <w:rPr>
      <w:rFonts w:ascii="黑体" w:hAnsi="Times New Roman" w:eastAsia="黑体" w:cs="Times New Roman"/>
      <w:b/>
      <w:kern w:val="0"/>
      <w:sz w:val="21"/>
      <w:szCs w:val="20"/>
      <w:lang w:val="en-US" w:eastAsia="zh-CN" w:bidi="ar-SA"/>
    </w:rPr>
  </w:style>
  <w:style w:type="paragraph" w:customStyle="1" w:styleId="16">
    <w:name w:val="段"/>
    <w:autoRedefine/>
    <w:qFormat/>
    <w:uiPriority w:val="0"/>
    <w:pPr>
      <w:ind w:firstLine="200" w:firstLineChars="200"/>
      <w:jc w:val="both"/>
    </w:pPr>
    <w:rPr>
      <w:rFonts w:asciiTheme="minorHAnsi" w:hAnsiTheme="minorHAnsi" w:eastAsiaTheme="minorEastAsia" w:cstheme="minorBidi"/>
      <w:kern w:val="2"/>
      <w:sz w:val="21"/>
      <w:szCs w:val="21"/>
      <w:lang w:val="en-US" w:eastAsia="zh-CN" w:bidi="ar-SA"/>
    </w:rPr>
  </w:style>
  <w:style w:type="paragraph" w:customStyle="1" w:styleId="17">
    <w:name w:val="字母编号列项（一级）"/>
    <w:autoRedefine/>
    <w:qFormat/>
    <w:uiPriority w:val="0"/>
    <w:pPr>
      <w:numPr>
        <w:ilvl w:val="1"/>
        <w:numId w:val="1"/>
      </w:numPr>
      <w:tabs>
        <w:tab w:val="left" w:pos="57"/>
      </w:tabs>
      <w:jc w:val="both"/>
    </w:pPr>
    <w:rPr>
      <w:rFonts w:ascii="宋体" w:hAnsi="Times New Roman" w:eastAsia="宋体" w:cs="Times New Roman"/>
      <w:kern w:val="0"/>
      <w:sz w:val="21"/>
      <w:szCs w:val="20"/>
      <w:lang w:val="en-US" w:eastAsia="zh-CN" w:bidi="ar-SA"/>
    </w:rPr>
  </w:style>
  <w:style w:type="paragraph" w:customStyle="1" w:styleId="18">
    <w:name w:val="列表段落1"/>
    <w:basedOn w:val="1"/>
    <w:autoRedefine/>
    <w:qFormat/>
    <w:uiPriority w:val="34"/>
    <w:pPr>
      <w:ind w:firstLine="420" w:firstLineChars="200"/>
    </w:pPr>
  </w:style>
  <w:style w:type="paragraph" w:customStyle="1" w:styleId="19">
    <w:name w:val="三级无"/>
    <w:basedOn w:val="12"/>
    <w:autoRedefine/>
    <w:qFormat/>
    <w:uiPriority w:val="0"/>
    <w:pPr>
      <w:numPr>
        <w:numId w:val="2"/>
      </w:numPr>
      <w:tabs>
        <w:tab w:val="left" w:pos="839"/>
        <w:tab w:val="left" w:pos="1259"/>
        <w:tab w:val="left" w:pos="2098"/>
        <w:tab w:val="clear" w:pos="57"/>
        <w:tab w:val="clear" w:pos="420"/>
        <w:tab w:val="clear" w:pos="945"/>
      </w:tabs>
      <w:spacing w:beforeLines="0" w:afterLines="0"/>
    </w:pPr>
    <w:rPr>
      <w:rFonts w:ascii="宋体" w:eastAsia="宋体"/>
    </w:rPr>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6417</Words>
  <Characters>7011</Characters>
  <Lines>0</Lines>
  <Paragraphs>0</Paragraphs>
  <TotalTime>0</TotalTime>
  <ScaleCrop>false</ScaleCrop>
  <LinksUpToDate>false</LinksUpToDate>
  <CharactersWithSpaces>7032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2025-08-08T10:39:34Z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CEC50A0F0E7043559B4E92D06C396120_13</vt:lpwstr>
  </property>
  <property fmtid="{D5CDD505-2E9C-101B-9397-08002B2CF9AE}" pid="4" name="KSOTemplateDocerSaveRecord">
    <vt:lpwstr>eyJoZGlkIjoiMzcwNjJhMjRjNDdiZDcxN2YwM2E3NTkwZGEwYzQ4ZjMiLCJ1c2VySWQiOiIxMTMxODAxOTk4In0=</vt:lpwstr>
  </property>
</Properties>
</file>