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66E15">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bookmarkEnd w:id="0"/>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732"/>
        <w:gridCol w:w="5643"/>
        <w:gridCol w:w="492"/>
        <w:gridCol w:w="593"/>
        <w:gridCol w:w="784"/>
        <w:gridCol w:w="905"/>
        <w:gridCol w:w="990"/>
        <w:gridCol w:w="3131"/>
      </w:tblGrid>
      <w:tr w14:paraId="22FE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44D0F1A5">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项目名称</w:t>
            </w:r>
          </w:p>
        </w:tc>
        <w:tc>
          <w:tcPr>
            <w:tcW w:w="0" w:type="auto"/>
            <w:noWrap w:val="0"/>
            <w:vAlign w:val="center"/>
          </w:tcPr>
          <w:p w14:paraId="147C7ADA">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物资名称</w:t>
            </w:r>
          </w:p>
        </w:tc>
        <w:tc>
          <w:tcPr>
            <w:tcW w:w="0" w:type="auto"/>
            <w:noWrap w:val="0"/>
            <w:vAlign w:val="center"/>
          </w:tcPr>
          <w:p w14:paraId="15D46E9F">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主要技术要求</w:t>
            </w:r>
          </w:p>
        </w:tc>
        <w:tc>
          <w:tcPr>
            <w:tcW w:w="0" w:type="auto"/>
            <w:noWrap w:val="0"/>
            <w:vAlign w:val="center"/>
          </w:tcPr>
          <w:p w14:paraId="65664F1E">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0" w:type="auto"/>
            <w:noWrap w:val="0"/>
            <w:vAlign w:val="center"/>
          </w:tcPr>
          <w:p w14:paraId="1DEC58D7">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c>
          <w:tcPr>
            <w:tcW w:w="0" w:type="auto"/>
            <w:noWrap w:val="0"/>
            <w:vAlign w:val="center"/>
          </w:tcPr>
          <w:p w14:paraId="1798534E">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交货日期</w:t>
            </w:r>
          </w:p>
        </w:tc>
        <w:tc>
          <w:tcPr>
            <w:tcW w:w="0" w:type="auto"/>
            <w:noWrap w:val="0"/>
            <w:vAlign w:val="center"/>
          </w:tcPr>
          <w:p w14:paraId="40EE3F6B">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质保期（不低于）</w:t>
            </w:r>
          </w:p>
        </w:tc>
        <w:tc>
          <w:tcPr>
            <w:tcW w:w="990" w:type="dxa"/>
            <w:noWrap w:val="0"/>
            <w:vAlign w:val="center"/>
          </w:tcPr>
          <w:p w14:paraId="3116AFF0">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交货地点</w:t>
            </w:r>
          </w:p>
        </w:tc>
        <w:tc>
          <w:tcPr>
            <w:tcW w:w="3132" w:type="dxa"/>
            <w:noWrap w:val="0"/>
            <w:vAlign w:val="center"/>
          </w:tcPr>
          <w:p w14:paraId="01185C73">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kern w:val="0"/>
                <w:sz w:val="24"/>
                <w:szCs w:val="24"/>
                <w:highlight w:val="none"/>
                <w:lang w:val="en-US" w:eastAsia="zh-CN"/>
              </w:rPr>
              <w:t>专用业绩要求</w:t>
            </w:r>
          </w:p>
        </w:tc>
      </w:tr>
      <w:tr w14:paraId="0365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shd w:val="clear" w:color="auto" w:fill="auto"/>
            <w:noWrap w:val="0"/>
            <w:vAlign w:val="center"/>
          </w:tcPr>
          <w:p w14:paraId="61BEBA9C">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计量现场作业终端配件采购项目</w:t>
            </w:r>
          </w:p>
        </w:tc>
        <w:tc>
          <w:tcPr>
            <w:tcW w:w="0" w:type="auto"/>
            <w:shd w:val="clear" w:color="auto" w:fill="auto"/>
            <w:noWrap w:val="0"/>
            <w:vAlign w:val="center"/>
          </w:tcPr>
          <w:p w14:paraId="0999794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高频模块</w:t>
            </w:r>
          </w:p>
        </w:tc>
        <w:tc>
          <w:tcPr>
            <w:tcW w:w="0" w:type="auto"/>
            <w:shd w:val="clear" w:color="auto" w:fill="auto"/>
            <w:noWrap w:val="0"/>
            <w:vAlign w:val="center"/>
          </w:tcPr>
          <w:p w14:paraId="66F6FC1A">
            <w:pPr>
              <w:pStyle w:val="14"/>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射频工作场频为13.56MHz；工作场强应符合ISO 14443中规定的交变电磁场的要求；传输协议应支持ISO 14443 typeA协议或ISO/IEC 15693—3协议；识读距离不大于5cm时，读写1000次，识读率应大于99%。天线应采用内置式天线。</w:t>
            </w:r>
          </w:p>
        </w:tc>
        <w:tc>
          <w:tcPr>
            <w:tcW w:w="0" w:type="auto"/>
            <w:shd w:val="clear" w:color="000000" w:fill="FFFFFF"/>
            <w:noWrap w:val="0"/>
            <w:vAlign w:val="center"/>
          </w:tcPr>
          <w:p w14:paraId="7E0D2B3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591F5E6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sz w:val="24"/>
                <w:szCs w:val="24"/>
                <w:highlight w:val="none"/>
                <w:lang w:val="en-US" w:eastAsia="zh-CN"/>
              </w:rPr>
              <w:t>550</w:t>
            </w:r>
          </w:p>
        </w:tc>
        <w:tc>
          <w:tcPr>
            <w:tcW w:w="0" w:type="auto"/>
            <w:noWrap w:val="0"/>
            <w:vAlign w:val="center"/>
          </w:tcPr>
          <w:p w14:paraId="39A1C98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0" w:type="auto"/>
            <w:noWrap w:val="0"/>
            <w:vAlign w:val="center"/>
          </w:tcPr>
          <w:p w14:paraId="3CFF591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3年</w:t>
            </w:r>
          </w:p>
        </w:tc>
        <w:tc>
          <w:tcPr>
            <w:tcW w:w="990" w:type="dxa"/>
            <w:noWrap w:val="0"/>
            <w:vAlign w:val="center"/>
          </w:tcPr>
          <w:p w14:paraId="5782B67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3132" w:type="dxa"/>
            <w:vMerge w:val="restart"/>
            <w:noWrap w:val="0"/>
            <w:vAlign w:val="center"/>
          </w:tcPr>
          <w:p w14:paraId="1A86D7D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b/>
                <w:bCs/>
                <w:color w:val="000000"/>
                <w:kern w:val="0"/>
                <w:sz w:val="24"/>
                <w:szCs w:val="24"/>
                <w:highlight w:val="none"/>
              </w:rPr>
              <w:t>业绩要求</w:t>
            </w:r>
            <w:r>
              <w:rPr>
                <w:rFonts w:hint="eastAsia" w:ascii="宋体" w:hAnsi="宋体" w:eastAsia="宋体" w:cs="宋体"/>
                <w:b/>
                <w:bCs/>
                <w:color w:val="000000"/>
                <w:kern w:val="0"/>
                <w:sz w:val="24"/>
                <w:szCs w:val="24"/>
                <w:highlight w:val="none"/>
                <w:lang w:eastAsia="zh-CN"/>
              </w:rPr>
              <w:t>：</w:t>
            </w:r>
            <w:r>
              <w:rPr>
                <w:rFonts w:hint="eastAsia" w:ascii="宋体" w:hAnsi="宋体" w:eastAsia="宋体" w:cs="宋体"/>
                <w:color w:val="000000"/>
                <w:kern w:val="0"/>
                <w:sz w:val="24"/>
                <w:szCs w:val="24"/>
                <w:highlight w:val="none"/>
              </w:rPr>
              <w:t>2022年1月1日至投标截止日内，完成移动作业设备终端、背夹等相类似业绩不少于1份，累计金额不低于</w:t>
            </w:r>
            <w:r>
              <w:rPr>
                <w:rFonts w:hint="eastAsia" w:ascii="宋体" w:hAnsi="宋体" w:eastAsia="宋体" w:cs="宋体"/>
                <w:color w:val="000000"/>
                <w:kern w:val="0"/>
                <w:sz w:val="24"/>
                <w:szCs w:val="24"/>
                <w:highlight w:val="none"/>
                <w:lang w:val="en-US" w:eastAsia="zh-CN"/>
              </w:rPr>
              <w:t>90</w:t>
            </w:r>
            <w:r>
              <w:rPr>
                <w:rFonts w:hint="eastAsia" w:ascii="宋体" w:hAnsi="宋体" w:eastAsia="宋体" w:cs="宋体"/>
                <w:color w:val="000000"/>
                <w:kern w:val="0"/>
                <w:sz w:val="24"/>
                <w:szCs w:val="24"/>
                <w:highlight w:val="none"/>
              </w:rPr>
              <w:t>万元。注:业绩必须提供对应的合同复印件、发票和相应查验截图。</w:t>
            </w:r>
          </w:p>
        </w:tc>
      </w:tr>
      <w:tr w14:paraId="0D8B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2F9FAA21">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0" w:type="auto"/>
            <w:shd w:val="clear" w:color="auto" w:fill="auto"/>
            <w:noWrap w:val="0"/>
            <w:vAlign w:val="center"/>
          </w:tcPr>
          <w:p w14:paraId="0ED1380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安全单元模块</w:t>
            </w:r>
          </w:p>
        </w:tc>
        <w:tc>
          <w:tcPr>
            <w:tcW w:w="0" w:type="auto"/>
            <w:shd w:val="clear" w:color="auto" w:fill="auto"/>
            <w:noWrap w:val="0"/>
            <w:vAlign w:val="center"/>
          </w:tcPr>
          <w:p w14:paraId="5EFC2B6C">
            <w:pPr>
              <w:pStyle w:val="14"/>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安全认证模块，</w:t>
            </w:r>
            <w:r>
              <w:rPr>
                <w:rFonts w:hint="eastAsia" w:ascii="宋体" w:hAnsi="宋体" w:eastAsia="宋体" w:cs="宋体"/>
                <w:sz w:val="24"/>
                <w:szCs w:val="24"/>
                <w:highlight w:val="none"/>
              </w:rPr>
              <w:t>支持国密SM1、SM2、SM3、SM</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、SM7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SM9</w:t>
            </w:r>
            <w:r>
              <w:rPr>
                <w:rFonts w:hint="eastAsia" w:ascii="宋体" w:hAnsi="宋体" w:eastAsia="宋体" w:cs="宋体"/>
                <w:sz w:val="24"/>
                <w:szCs w:val="24"/>
                <w:highlight w:val="none"/>
              </w:rPr>
              <w:t>算法的</w:t>
            </w:r>
            <w:r>
              <w:rPr>
                <w:rFonts w:hint="eastAsia" w:ascii="宋体" w:hAnsi="宋体" w:eastAsia="宋体" w:cs="宋体"/>
                <w:sz w:val="24"/>
                <w:szCs w:val="24"/>
                <w:highlight w:val="none"/>
                <w:lang w:val="en-US" w:eastAsia="zh-CN"/>
              </w:rPr>
              <w:t>计量通信认证</w:t>
            </w:r>
            <w:r>
              <w:rPr>
                <w:rFonts w:hint="eastAsia" w:ascii="宋体" w:hAnsi="宋体" w:eastAsia="宋体" w:cs="宋体"/>
                <w:sz w:val="24"/>
                <w:szCs w:val="24"/>
                <w:highlight w:val="none"/>
              </w:rPr>
              <w:t>模块</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安装支持国密SM1、SM2、SM3、SM7算法的</w:t>
            </w:r>
            <w:r>
              <w:rPr>
                <w:rFonts w:hint="eastAsia" w:ascii="宋体" w:hAnsi="宋体" w:eastAsia="宋体" w:cs="宋体"/>
                <w:sz w:val="24"/>
                <w:szCs w:val="24"/>
                <w:highlight w:val="none"/>
                <w:lang w:val="en-US" w:eastAsia="zh-CN"/>
              </w:rPr>
              <w:t>计量通信认证</w:t>
            </w:r>
            <w:r>
              <w:rPr>
                <w:rFonts w:hint="eastAsia" w:ascii="宋体" w:hAnsi="宋体" w:eastAsia="宋体" w:cs="宋体"/>
                <w:sz w:val="24"/>
                <w:szCs w:val="24"/>
                <w:highlight w:val="none"/>
              </w:rPr>
              <w:t>模块以及支持国网SM4安全软算法模块</w:t>
            </w:r>
            <w:r>
              <w:rPr>
                <w:rFonts w:hint="eastAsia" w:ascii="宋体" w:hAnsi="宋体" w:eastAsia="宋体" w:cs="宋体"/>
                <w:sz w:val="24"/>
                <w:szCs w:val="24"/>
                <w:highlight w:val="none"/>
                <w:lang w:eastAsia="zh-CN"/>
              </w:rPr>
              <w:t>；</w:t>
            </w:r>
          </w:p>
        </w:tc>
        <w:tc>
          <w:tcPr>
            <w:tcW w:w="0" w:type="auto"/>
            <w:shd w:val="clear" w:color="000000" w:fill="FFFFFF"/>
            <w:noWrap w:val="0"/>
            <w:vAlign w:val="center"/>
          </w:tcPr>
          <w:p w14:paraId="3203155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7A51537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550</w:t>
            </w:r>
          </w:p>
        </w:tc>
        <w:tc>
          <w:tcPr>
            <w:tcW w:w="0" w:type="auto"/>
            <w:noWrap w:val="0"/>
            <w:vAlign w:val="center"/>
          </w:tcPr>
          <w:p w14:paraId="25156EA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0" w:type="auto"/>
            <w:noWrap w:val="0"/>
            <w:vAlign w:val="center"/>
          </w:tcPr>
          <w:p w14:paraId="38C711B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3年</w:t>
            </w:r>
          </w:p>
        </w:tc>
        <w:tc>
          <w:tcPr>
            <w:tcW w:w="990" w:type="dxa"/>
            <w:noWrap w:val="0"/>
            <w:vAlign w:val="center"/>
          </w:tcPr>
          <w:p w14:paraId="5D740C2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3132" w:type="dxa"/>
            <w:vMerge w:val="continue"/>
            <w:noWrap w:val="0"/>
            <w:vAlign w:val="center"/>
          </w:tcPr>
          <w:p w14:paraId="4744F8D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3C11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03D24A90">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0" w:type="auto"/>
            <w:shd w:val="clear" w:color="auto" w:fill="auto"/>
            <w:noWrap w:val="0"/>
            <w:vAlign w:val="center"/>
          </w:tcPr>
          <w:p w14:paraId="665892F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调制</w:t>
            </w:r>
            <w:r>
              <w:rPr>
                <w:rFonts w:hint="eastAsia" w:ascii="宋体" w:hAnsi="宋体" w:eastAsia="宋体" w:cs="宋体"/>
                <w:sz w:val="24"/>
                <w:szCs w:val="24"/>
                <w:highlight w:val="none"/>
                <w:lang w:val="en-US" w:eastAsia="zh-CN"/>
              </w:rPr>
              <w:t>远</w:t>
            </w:r>
            <w:r>
              <w:rPr>
                <w:rFonts w:hint="eastAsia" w:ascii="宋体" w:hAnsi="宋体" w:eastAsia="宋体" w:cs="宋体"/>
                <w:sz w:val="24"/>
                <w:szCs w:val="24"/>
                <w:highlight w:val="none"/>
              </w:rPr>
              <w:t>红外</w:t>
            </w:r>
            <w:r>
              <w:rPr>
                <w:rFonts w:hint="eastAsia" w:ascii="宋体" w:hAnsi="宋体" w:eastAsia="宋体" w:cs="宋体"/>
                <w:sz w:val="24"/>
                <w:szCs w:val="24"/>
                <w:highlight w:val="none"/>
                <w:lang w:val="en-US" w:eastAsia="zh-CN"/>
              </w:rPr>
              <w:t>模块</w:t>
            </w:r>
          </w:p>
        </w:tc>
        <w:tc>
          <w:tcPr>
            <w:tcW w:w="0" w:type="auto"/>
            <w:shd w:val="clear" w:color="auto" w:fill="auto"/>
            <w:noWrap w:val="0"/>
            <w:vAlign w:val="center"/>
          </w:tcPr>
          <w:p w14:paraId="15B2FD73">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红外发射管载波中心频率为38kHz±1kHz；</w:t>
            </w:r>
          </w:p>
          <w:p w14:paraId="30308E57">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发射管红外波长为940nm；</w:t>
            </w:r>
          </w:p>
          <w:p w14:paraId="77128546">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红外发射管有效角度为±17°；</w:t>
            </w:r>
          </w:p>
          <w:p w14:paraId="3BC18AD8">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红外接收管的载波解调中心频率为38kHz±1kHz；</w:t>
            </w:r>
          </w:p>
          <w:p w14:paraId="6AB6998E">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接收管有效响应的红外波长范围为900nm～1000nm；</w:t>
            </w:r>
          </w:p>
          <w:p w14:paraId="0958A7E1">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红外接收管的接收范围角度为±45°；</w:t>
            </w:r>
          </w:p>
          <w:p w14:paraId="369606CD">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红外接受距离应不小于5m；</w:t>
            </w:r>
          </w:p>
          <w:p w14:paraId="030A3C19">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传输波特率支持1200、2400；</w:t>
            </w:r>
          </w:p>
          <w:p w14:paraId="13431E90">
            <w:pPr>
              <w:pStyle w:val="5"/>
              <w:keepNext w:val="0"/>
              <w:keepLines w:val="0"/>
              <w:pageBreakBefore w:val="0"/>
              <w:kinsoku/>
              <w:wordWrap/>
              <w:overflowPunct/>
              <w:topLinePunct w:val="0"/>
              <w:autoSpaceDE/>
              <w:autoSpaceDN/>
              <w:bidi w:val="0"/>
              <w:adjustRightInd/>
              <w:snapToGrid w:val="0"/>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调制红外硬件模块应与背夹(平放)的顶部铅锤面应呈-13°夹角</w:t>
            </w:r>
            <w:r>
              <w:rPr>
                <w:rFonts w:hint="eastAsia" w:ascii="宋体" w:hAnsi="宋体" w:eastAsia="宋体" w:cs="宋体"/>
                <w:sz w:val="24"/>
                <w:szCs w:val="24"/>
                <w:highlight w:val="none"/>
                <w:lang w:eastAsia="zh-CN"/>
              </w:rPr>
              <w:t>。</w:t>
            </w:r>
          </w:p>
        </w:tc>
        <w:tc>
          <w:tcPr>
            <w:tcW w:w="0" w:type="auto"/>
            <w:shd w:val="clear" w:color="000000" w:fill="FFFFFF"/>
            <w:noWrap w:val="0"/>
            <w:vAlign w:val="center"/>
          </w:tcPr>
          <w:p w14:paraId="4C37408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0421ABD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550</w:t>
            </w:r>
          </w:p>
        </w:tc>
        <w:tc>
          <w:tcPr>
            <w:tcW w:w="0" w:type="auto"/>
            <w:noWrap w:val="0"/>
            <w:vAlign w:val="center"/>
          </w:tcPr>
          <w:p w14:paraId="122E9FC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0" w:type="auto"/>
            <w:noWrap w:val="0"/>
            <w:vAlign w:val="center"/>
          </w:tcPr>
          <w:p w14:paraId="7D1A28C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3年</w:t>
            </w:r>
          </w:p>
        </w:tc>
        <w:tc>
          <w:tcPr>
            <w:tcW w:w="990" w:type="dxa"/>
            <w:noWrap w:val="0"/>
            <w:vAlign w:val="center"/>
          </w:tcPr>
          <w:p w14:paraId="27C8496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3132" w:type="dxa"/>
            <w:vMerge w:val="continue"/>
            <w:noWrap w:val="0"/>
            <w:vAlign w:val="center"/>
          </w:tcPr>
          <w:p w14:paraId="4F2CB0F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0488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4BEF9C8E">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0" w:type="auto"/>
            <w:shd w:val="clear" w:color="auto" w:fill="auto"/>
            <w:noWrap w:val="0"/>
            <w:vAlign w:val="center"/>
          </w:tcPr>
          <w:p w14:paraId="30E9AB1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sz w:val="24"/>
                <w:szCs w:val="24"/>
                <w:highlight w:val="none"/>
              </w:rPr>
              <w:t>调制激光红外</w:t>
            </w:r>
            <w:r>
              <w:rPr>
                <w:rFonts w:hint="eastAsia" w:ascii="宋体" w:hAnsi="宋体" w:eastAsia="宋体" w:cs="宋体"/>
                <w:sz w:val="24"/>
                <w:szCs w:val="24"/>
                <w:highlight w:val="none"/>
                <w:lang w:val="en-US" w:eastAsia="zh-CN"/>
              </w:rPr>
              <w:t>模块</w:t>
            </w:r>
          </w:p>
        </w:tc>
        <w:tc>
          <w:tcPr>
            <w:tcW w:w="0" w:type="auto"/>
            <w:shd w:val="clear" w:color="auto" w:fill="auto"/>
            <w:noWrap w:val="0"/>
            <w:vAlign w:val="center"/>
          </w:tcPr>
          <w:p w14:paraId="6FE6BC0A">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红外激光发射管的波长应为980nm±15nm；</w:t>
            </w:r>
          </w:p>
          <w:p w14:paraId="12FE410B">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光学输出功率不大于7mW；</w:t>
            </w:r>
          </w:p>
          <w:p w14:paraId="468A83F8">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激光有效光斑应满足1m处直径不大于12cm、3m处直径不大于14 cm、5m处直径不大于18 cm；</w:t>
            </w:r>
          </w:p>
          <w:p w14:paraId="0FD98CEA">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辅助瞄准红色激光波长应为650nm，瞄准红色光斑中心点与激光红外光斑中心点距离在1m处不大于1.5cm、3m处不大于2cm、5m处不大于3cm；</w:t>
            </w:r>
          </w:p>
          <w:p w14:paraId="5D9A99DD">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sz w:val="24"/>
                <w:szCs w:val="24"/>
                <w:highlight w:val="none"/>
              </w:rPr>
              <w:t>调制激光红外硬件模块应与背夹(平放)的顶部铅锤面应呈-13°夹角</w:t>
            </w:r>
            <w:r>
              <w:rPr>
                <w:rFonts w:hint="eastAsia" w:ascii="宋体" w:hAnsi="宋体" w:eastAsia="宋体" w:cs="宋体"/>
                <w:sz w:val="24"/>
                <w:szCs w:val="24"/>
                <w:highlight w:val="none"/>
                <w:lang w:eastAsia="zh-CN"/>
              </w:rPr>
              <w:t>。</w:t>
            </w:r>
          </w:p>
        </w:tc>
        <w:tc>
          <w:tcPr>
            <w:tcW w:w="0" w:type="auto"/>
            <w:shd w:val="clear" w:color="000000" w:fill="FFFFFF"/>
            <w:noWrap w:val="0"/>
            <w:vAlign w:val="center"/>
          </w:tcPr>
          <w:p w14:paraId="5F31387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64899F6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550</w:t>
            </w:r>
          </w:p>
        </w:tc>
        <w:tc>
          <w:tcPr>
            <w:tcW w:w="0" w:type="auto"/>
            <w:noWrap w:val="0"/>
            <w:vAlign w:val="center"/>
          </w:tcPr>
          <w:p w14:paraId="39686EF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0" w:type="auto"/>
            <w:noWrap w:val="0"/>
            <w:vAlign w:val="center"/>
          </w:tcPr>
          <w:p w14:paraId="4D54041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3年</w:t>
            </w:r>
          </w:p>
        </w:tc>
        <w:tc>
          <w:tcPr>
            <w:tcW w:w="990" w:type="dxa"/>
            <w:noWrap w:val="0"/>
            <w:vAlign w:val="center"/>
          </w:tcPr>
          <w:p w14:paraId="100E0E7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3132" w:type="dxa"/>
            <w:vMerge w:val="continue"/>
            <w:noWrap w:val="0"/>
            <w:vAlign w:val="center"/>
          </w:tcPr>
          <w:p w14:paraId="7AADDBB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5B1C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6A59EB22">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0" w:type="auto"/>
            <w:shd w:val="clear" w:color="auto" w:fill="auto"/>
            <w:noWrap w:val="0"/>
            <w:vAlign w:val="center"/>
          </w:tcPr>
          <w:p w14:paraId="031C6A6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sz w:val="24"/>
                <w:szCs w:val="24"/>
                <w:highlight w:val="none"/>
              </w:rPr>
              <w:t>公网无线通信</w:t>
            </w:r>
            <w:r>
              <w:rPr>
                <w:rFonts w:hint="eastAsia" w:ascii="宋体" w:hAnsi="宋体" w:eastAsia="宋体" w:cs="宋体"/>
                <w:sz w:val="24"/>
                <w:szCs w:val="24"/>
                <w:highlight w:val="none"/>
                <w:lang w:val="en-US" w:eastAsia="zh-CN"/>
              </w:rPr>
              <w:t>模块</w:t>
            </w:r>
          </w:p>
        </w:tc>
        <w:tc>
          <w:tcPr>
            <w:tcW w:w="0" w:type="auto"/>
            <w:shd w:val="clear" w:color="auto" w:fill="auto"/>
            <w:noWrap w:val="0"/>
            <w:vAlign w:val="center"/>
          </w:tcPr>
          <w:p w14:paraId="0ADB7FCE">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符合国家相关入网检验标准；</w:t>
            </w:r>
          </w:p>
          <w:p w14:paraId="3855569C">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支持Nano SIM卡；</w:t>
            </w:r>
          </w:p>
          <w:p w14:paraId="2E252C85">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支持热点功能，热点功能采用2.4G/5G 双频段，支持 802.11a/b/g/n/ac，最高速率至150Mbps，通讯距离大于10米；</w:t>
            </w:r>
          </w:p>
          <w:p w14:paraId="2F4931C8">
            <w:pPr>
              <w:pStyle w:val="14"/>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sz w:val="24"/>
                <w:szCs w:val="24"/>
                <w:highlight w:val="none"/>
              </w:rPr>
              <w:t xml:space="preserve">支持TD-LTE（CAT4）、FDD-LTE、NR等网络制式。 </w:t>
            </w:r>
          </w:p>
        </w:tc>
        <w:tc>
          <w:tcPr>
            <w:tcW w:w="0" w:type="auto"/>
            <w:shd w:val="clear" w:color="000000" w:fill="FFFFFF"/>
            <w:noWrap w:val="0"/>
            <w:vAlign w:val="center"/>
          </w:tcPr>
          <w:p w14:paraId="1C81749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32718A9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550</w:t>
            </w:r>
          </w:p>
        </w:tc>
        <w:tc>
          <w:tcPr>
            <w:tcW w:w="0" w:type="auto"/>
            <w:noWrap w:val="0"/>
            <w:vAlign w:val="center"/>
          </w:tcPr>
          <w:p w14:paraId="17742DC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0" w:type="auto"/>
            <w:noWrap w:val="0"/>
            <w:vAlign w:val="center"/>
          </w:tcPr>
          <w:p w14:paraId="16CB1F3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3年</w:t>
            </w:r>
          </w:p>
        </w:tc>
        <w:tc>
          <w:tcPr>
            <w:tcW w:w="990" w:type="dxa"/>
            <w:noWrap w:val="0"/>
            <w:vAlign w:val="center"/>
          </w:tcPr>
          <w:p w14:paraId="66901F4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3132" w:type="dxa"/>
            <w:vMerge w:val="continue"/>
            <w:noWrap w:val="0"/>
            <w:vAlign w:val="center"/>
          </w:tcPr>
          <w:p w14:paraId="5245601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47F6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388A428F">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0" w:type="auto"/>
            <w:shd w:val="clear" w:color="auto" w:fill="auto"/>
            <w:noWrap w:val="0"/>
            <w:vAlign w:val="center"/>
          </w:tcPr>
          <w:p w14:paraId="5ABAD72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sz w:val="24"/>
                <w:szCs w:val="24"/>
                <w:highlight w:val="none"/>
              </w:rPr>
              <w:t>条码扫描</w:t>
            </w:r>
            <w:r>
              <w:rPr>
                <w:rFonts w:hint="eastAsia" w:ascii="宋体" w:hAnsi="宋体" w:eastAsia="宋体" w:cs="宋体"/>
                <w:sz w:val="24"/>
                <w:szCs w:val="24"/>
                <w:highlight w:val="none"/>
                <w:lang w:val="en-US" w:eastAsia="zh-CN"/>
              </w:rPr>
              <w:t>模块</w:t>
            </w:r>
          </w:p>
        </w:tc>
        <w:tc>
          <w:tcPr>
            <w:tcW w:w="0" w:type="auto"/>
            <w:shd w:val="clear" w:color="auto" w:fill="auto"/>
            <w:noWrap w:val="0"/>
            <w:vAlign w:val="center"/>
          </w:tcPr>
          <w:p w14:paraId="2C0CB389">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支持一维、二维专业条码扫描；</w:t>
            </w:r>
          </w:p>
          <w:p w14:paraId="2C2926C4">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条码扫描硬件模块应与背夹(平放)的顶部铅锤面应呈-13°夹角；</w:t>
            </w:r>
          </w:p>
          <w:p w14:paraId="78959AAD">
            <w:pPr>
              <w:pStyle w:val="14"/>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FF0000"/>
                <w:sz w:val="24"/>
                <w:szCs w:val="24"/>
                <w:highlight w:val="none"/>
                <w:lang w:val="en-US" w:eastAsia="zh-CN" w:bidi="ar-SA"/>
              </w:rPr>
            </w:pPr>
            <w:r>
              <w:rPr>
                <w:rFonts w:hint="eastAsia" w:ascii="宋体" w:hAnsi="宋体" w:eastAsia="宋体" w:cs="宋体"/>
                <w:sz w:val="24"/>
                <w:szCs w:val="24"/>
                <w:highlight w:val="none"/>
              </w:rPr>
              <w:t>码制符合Q/GDW 10205标准要求。</w:t>
            </w:r>
          </w:p>
        </w:tc>
        <w:tc>
          <w:tcPr>
            <w:tcW w:w="0" w:type="auto"/>
            <w:shd w:val="clear" w:color="000000" w:fill="FFFFFF"/>
            <w:noWrap w:val="0"/>
            <w:vAlign w:val="center"/>
          </w:tcPr>
          <w:p w14:paraId="6EC7580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66CA233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550</w:t>
            </w:r>
          </w:p>
        </w:tc>
        <w:tc>
          <w:tcPr>
            <w:tcW w:w="0" w:type="auto"/>
            <w:noWrap w:val="0"/>
            <w:vAlign w:val="center"/>
          </w:tcPr>
          <w:p w14:paraId="55353EB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0" w:type="auto"/>
            <w:noWrap w:val="0"/>
            <w:vAlign w:val="center"/>
          </w:tcPr>
          <w:p w14:paraId="26793CD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3年</w:t>
            </w:r>
          </w:p>
        </w:tc>
        <w:tc>
          <w:tcPr>
            <w:tcW w:w="990" w:type="dxa"/>
            <w:noWrap w:val="0"/>
            <w:vAlign w:val="center"/>
          </w:tcPr>
          <w:p w14:paraId="26595FF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3132" w:type="dxa"/>
            <w:vMerge w:val="continue"/>
            <w:noWrap w:val="0"/>
            <w:vAlign w:val="center"/>
          </w:tcPr>
          <w:p w14:paraId="6FB0053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2A0A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726D616C">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0" w:type="auto"/>
            <w:shd w:val="clear" w:color="auto" w:fill="auto"/>
            <w:noWrap w:val="0"/>
            <w:vAlign w:val="center"/>
          </w:tcPr>
          <w:p w14:paraId="3E2995B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sz w:val="24"/>
                <w:szCs w:val="24"/>
                <w:highlight w:val="none"/>
              </w:rPr>
              <w:t>蓝牙通信</w:t>
            </w:r>
            <w:r>
              <w:rPr>
                <w:rFonts w:hint="eastAsia" w:ascii="宋体" w:hAnsi="宋体" w:eastAsia="宋体" w:cs="宋体"/>
                <w:sz w:val="24"/>
                <w:szCs w:val="24"/>
                <w:highlight w:val="none"/>
                <w:lang w:val="en-US" w:eastAsia="zh-CN"/>
              </w:rPr>
              <w:t>模块</w:t>
            </w:r>
          </w:p>
        </w:tc>
        <w:tc>
          <w:tcPr>
            <w:tcW w:w="0" w:type="auto"/>
            <w:shd w:val="clear" w:color="auto" w:fill="auto"/>
            <w:noWrap w:val="0"/>
            <w:vAlign w:val="center"/>
          </w:tcPr>
          <w:p w14:paraId="04CD5936">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蓝牙通信协议支持V</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.0-EDR及以上版本；</w:t>
            </w:r>
          </w:p>
          <w:p w14:paraId="6EF0591F">
            <w:pPr>
              <w:pStyle w:val="14"/>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sz w:val="24"/>
                <w:szCs w:val="24"/>
                <w:highlight w:val="none"/>
              </w:rPr>
              <w:t>功率级别Class 2小于4dBm，连接距离不小于10m。</w:t>
            </w:r>
          </w:p>
        </w:tc>
        <w:tc>
          <w:tcPr>
            <w:tcW w:w="0" w:type="auto"/>
            <w:shd w:val="clear" w:color="000000" w:fill="FFFFFF"/>
            <w:noWrap w:val="0"/>
            <w:vAlign w:val="center"/>
          </w:tcPr>
          <w:p w14:paraId="2BF9A74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4CCCD10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550</w:t>
            </w:r>
          </w:p>
        </w:tc>
        <w:tc>
          <w:tcPr>
            <w:tcW w:w="0" w:type="auto"/>
            <w:noWrap w:val="0"/>
            <w:vAlign w:val="center"/>
          </w:tcPr>
          <w:p w14:paraId="0440580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0" w:type="auto"/>
            <w:noWrap w:val="0"/>
            <w:vAlign w:val="center"/>
          </w:tcPr>
          <w:p w14:paraId="522739C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3年</w:t>
            </w:r>
          </w:p>
        </w:tc>
        <w:tc>
          <w:tcPr>
            <w:tcW w:w="990" w:type="dxa"/>
            <w:noWrap w:val="0"/>
            <w:vAlign w:val="center"/>
          </w:tcPr>
          <w:p w14:paraId="3F8E753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3132" w:type="dxa"/>
            <w:vMerge w:val="continue"/>
            <w:noWrap w:val="0"/>
            <w:vAlign w:val="center"/>
          </w:tcPr>
          <w:p w14:paraId="7F861FA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5168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4AE16BD7">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0" w:type="auto"/>
            <w:shd w:val="clear" w:color="auto" w:fill="auto"/>
            <w:noWrap w:val="0"/>
            <w:vAlign w:val="center"/>
          </w:tcPr>
          <w:p w14:paraId="590F61F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设备外壳模块</w:t>
            </w:r>
          </w:p>
        </w:tc>
        <w:tc>
          <w:tcPr>
            <w:tcW w:w="0" w:type="auto"/>
            <w:shd w:val="clear" w:color="auto" w:fill="auto"/>
            <w:noWrap w:val="0"/>
            <w:vAlign w:val="center"/>
          </w:tcPr>
          <w:p w14:paraId="1D4E2145">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含单片机控制板、外壳按键、LCD屏幕、电池，射频天线等组件；外壳主体不大于L162*W75*H16mm。</w:t>
            </w:r>
          </w:p>
        </w:tc>
        <w:tc>
          <w:tcPr>
            <w:tcW w:w="0" w:type="auto"/>
            <w:shd w:val="clear" w:color="000000" w:fill="FFFFFF"/>
            <w:noWrap w:val="0"/>
            <w:vAlign w:val="center"/>
          </w:tcPr>
          <w:p w14:paraId="470E133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0052202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550</w:t>
            </w:r>
          </w:p>
        </w:tc>
        <w:tc>
          <w:tcPr>
            <w:tcW w:w="0" w:type="auto"/>
            <w:noWrap w:val="0"/>
            <w:vAlign w:val="center"/>
          </w:tcPr>
          <w:p w14:paraId="62170A8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0" w:type="auto"/>
            <w:noWrap w:val="0"/>
            <w:vAlign w:val="center"/>
          </w:tcPr>
          <w:p w14:paraId="16DE065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3年</w:t>
            </w:r>
          </w:p>
        </w:tc>
        <w:tc>
          <w:tcPr>
            <w:tcW w:w="990" w:type="dxa"/>
            <w:noWrap w:val="0"/>
            <w:vAlign w:val="center"/>
          </w:tcPr>
          <w:p w14:paraId="3D12A03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3132" w:type="dxa"/>
            <w:vMerge w:val="continue"/>
            <w:noWrap w:val="0"/>
            <w:vAlign w:val="center"/>
          </w:tcPr>
          <w:p w14:paraId="135B4A1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5FA5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696BEBE8">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0" w:type="auto"/>
            <w:shd w:val="clear" w:color="auto" w:fill="auto"/>
            <w:noWrap w:val="0"/>
            <w:vAlign w:val="center"/>
          </w:tcPr>
          <w:p w14:paraId="63F0F7CB">
            <w:pPr>
              <w:pStyle w:val="14"/>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北斗超高频配件模块</w:t>
            </w:r>
          </w:p>
        </w:tc>
        <w:tc>
          <w:tcPr>
            <w:tcW w:w="0" w:type="auto"/>
            <w:shd w:val="clear" w:color="auto" w:fill="auto"/>
            <w:noWrap w:val="0"/>
            <w:vAlign w:val="center"/>
          </w:tcPr>
          <w:p w14:paraId="6E8B9535">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支持北斗或北斗/GPS 双模； </w:t>
            </w:r>
          </w:p>
          <w:p w14:paraId="05068CEF">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晴朗空旷无遮挡环境下，定位精度优于 5m； </w:t>
            </w:r>
          </w:p>
          <w:p w14:paraId="5F627F51">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同步时间误差不大于 0.1μs； </w:t>
            </w:r>
          </w:p>
          <w:p w14:paraId="3A9F2F92">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定位时间在冷启动情况下不大于60s。</w:t>
            </w:r>
          </w:p>
          <w:p w14:paraId="5EA7BD61">
            <w:pPr>
              <w:pStyle w:val="14"/>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外壳主体不大于L188*W79*H29.5mm。</w:t>
            </w:r>
          </w:p>
        </w:tc>
        <w:tc>
          <w:tcPr>
            <w:tcW w:w="0" w:type="auto"/>
            <w:shd w:val="clear" w:color="000000" w:fill="FFFFFF"/>
            <w:noWrap w:val="0"/>
            <w:vAlign w:val="center"/>
          </w:tcPr>
          <w:p w14:paraId="5C3410D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52AA07F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550</w:t>
            </w:r>
          </w:p>
        </w:tc>
        <w:tc>
          <w:tcPr>
            <w:tcW w:w="0" w:type="auto"/>
            <w:noWrap w:val="0"/>
            <w:vAlign w:val="center"/>
          </w:tcPr>
          <w:p w14:paraId="7BE3478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0" w:type="auto"/>
            <w:noWrap w:val="0"/>
            <w:vAlign w:val="center"/>
          </w:tcPr>
          <w:p w14:paraId="6BECB26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u w:val="none"/>
              </w:rPr>
            </w:pPr>
            <w:r>
              <w:rPr>
                <w:rFonts w:hint="eastAsia" w:ascii="宋体" w:hAnsi="宋体" w:eastAsia="宋体" w:cs="宋体"/>
                <w:color w:val="000000"/>
                <w:kern w:val="0"/>
                <w:sz w:val="24"/>
                <w:szCs w:val="24"/>
                <w:highlight w:val="none"/>
                <w:u w:val="none"/>
                <w:lang w:val="en-US" w:eastAsia="zh-CN"/>
              </w:rPr>
              <w:t>3年</w:t>
            </w:r>
          </w:p>
        </w:tc>
        <w:tc>
          <w:tcPr>
            <w:tcW w:w="990" w:type="dxa"/>
            <w:noWrap w:val="0"/>
            <w:vAlign w:val="center"/>
          </w:tcPr>
          <w:p w14:paraId="1D40B99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买方指定地点</w:t>
            </w:r>
          </w:p>
        </w:tc>
        <w:tc>
          <w:tcPr>
            <w:tcW w:w="3132" w:type="dxa"/>
            <w:vMerge w:val="continue"/>
            <w:noWrap w:val="0"/>
            <w:vAlign w:val="center"/>
          </w:tcPr>
          <w:p w14:paraId="060A18B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1E9A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441C1F5E">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0" w:type="auto"/>
            <w:shd w:val="clear" w:color="auto" w:fill="auto"/>
            <w:noWrap w:val="0"/>
            <w:vAlign w:val="center"/>
          </w:tcPr>
          <w:p w14:paraId="05CF4FBF">
            <w:pPr>
              <w:pStyle w:val="14"/>
              <w:keepNext w:val="0"/>
              <w:keepLines w:val="0"/>
              <w:pageBreakBefore w:val="0"/>
              <w:numPr>
                <w:ilvl w:val="0"/>
                <w:numId w:val="0"/>
              </w:numPr>
              <w:kinsoku/>
              <w:wordWrap/>
              <w:overflowPunct/>
              <w:topLinePunct w:val="0"/>
              <w:autoSpaceDE/>
              <w:autoSpaceDN/>
              <w:bidi w:val="0"/>
              <w:adjustRightInd/>
              <w:snapToGrid w:val="0"/>
              <w:ind w:left="0" w:leftChars="0" w:firstLine="0" w:firstLine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超高频模块</w:t>
            </w:r>
          </w:p>
        </w:tc>
        <w:tc>
          <w:tcPr>
            <w:tcW w:w="0" w:type="auto"/>
            <w:shd w:val="clear" w:color="auto" w:fill="auto"/>
            <w:noWrap w:val="0"/>
            <w:vAlign w:val="center"/>
          </w:tcPr>
          <w:p w14:paraId="1DE38996">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支持 ISO/IEC18000-6 以及 GB/T29768—2013 空中接口协议； </w:t>
            </w:r>
          </w:p>
          <w:p w14:paraId="42E7C015">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支持 840-845MHz，920-925MHz 两个频段； </w:t>
            </w:r>
          </w:p>
          <w:p w14:paraId="36940C15">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发射功率范围应支持 0-30dBm，步进 1dB 可调，在 30dBm 发射功率，操作成功率不低于 90%的条件下，读写距离符合 Q/GDW11759—2017 和 Q/GDW10893—2018 中电子标签读写距离要求； </w:t>
            </w:r>
          </w:p>
          <w:p w14:paraId="29606502">
            <w:pPr>
              <w:pStyle w:val="14"/>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支持对超高频 RFID 的输出功率、频段、频点、应用场景及盘存到的重复标签过滤时间进行设定和查询； </w:t>
            </w:r>
          </w:p>
          <w:p w14:paraId="6C238ED2">
            <w:pPr>
              <w:pStyle w:val="14"/>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支持对符合 ISO/IEC18000-6/ GB/T29768—2013相关接口协议</w:t>
            </w:r>
          </w:p>
        </w:tc>
        <w:tc>
          <w:tcPr>
            <w:tcW w:w="0" w:type="auto"/>
            <w:shd w:val="clear" w:color="000000" w:fill="FFFFFF"/>
            <w:noWrap w:val="0"/>
            <w:vAlign w:val="center"/>
          </w:tcPr>
          <w:p w14:paraId="4841D5C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453BDDE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550</w:t>
            </w:r>
          </w:p>
        </w:tc>
        <w:tc>
          <w:tcPr>
            <w:tcW w:w="0" w:type="auto"/>
            <w:noWrap w:val="0"/>
            <w:vAlign w:val="center"/>
          </w:tcPr>
          <w:p w14:paraId="4ABDCE5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0" w:type="auto"/>
            <w:noWrap w:val="0"/>
            <w:vAlign w:val="center"/>
          </w:tcPr>
          <w:p w14:paraId="794FBA0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u w:val="none"/>
              </w:rPr>
            </w:pPr>
            <w:r>
              <w:rPr>
                <w:rFonts w:hint="eastAsia" w:ascii="宋体" w:hAnsi="宋体" w:eastAsia="宋体" w:cs="宋体"/>
                <w:color w:val="000000"/>
                <w:kern w:val="0"/>
                <w:sz w:val="24"/>
                <w:szCs w:val="24"/>
                <w:highlight w:val="none"/>
                <w:u w:val="none"/>
                <w:lang w:val="en-US" w:eastAsia="zh-CN"/>
              </w:rPr>
              <w:t>3年</w:t>
            </w:r>
          </w:p>
        </w:tc>
        <w:tc>
          <w:tcPr>
            <w:tcW w:w="990" w:type="dxa"/>
            <w:noWrap w:val="0"/>
            <w:vAlign w:val="center"/>
          </w:tcPr>
          <w:p w14:paraId="64CD6F5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买方指定地点</w:t>
            </w:r>
          </w:p>
        </w:tc>
        <w:tc>
          <w:tcPr>
            <w:tcW w:w="3132" w:type="dxa"/>
            <w:vMerge w:val="continue"/>
            <w:noWrap w:val="0"/>
            <w:vAlign w:val="center"/>
          </w:tcPr>
          <w:p w14:paraId="4674148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bl>
    <w:p w14:paraId="6FAE41E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471506F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0137CA5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0041C203">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EA661C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37AF315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90631">
    <w:pPr>
      <w:pStyle w:val="6"/>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6915D3">
                          <w:pPr>
                            <w:pStyle w:val="6"/>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96915D3">
                    <w:pPr>
                      <w:pStyle w:val="6"/>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6573A79D">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E7A8E">
    <w:pPr>
      <w:pStyle w:val="7"/>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21A6680"/>
    <w:rsid w:val="145B03B7"/>
    <w:rsid w:val="14C56718"/>
    <w:rsid w:val="162E3793"/>
    <w:rsid w:val="1F673085"/>
    <w:rsid w:val="20584B2C"/>
    <w:rsid w:val="20C0137D"/>
    <w:rsid w:val="22DB246C"/>
    <w:rsid w:val="23BB7539"/>
    <w:rsid w:val="29614FC6"/>
    <w:rsid w:val="2AB818CB"/>
    <w:rsid w:val="2B3202B6"/>
    <w:rsid w:val="2FE42AFC"/>
    <w:rsid w:val="33522A60"/>
    <w:rsid w:val="39444C4F"/>
    <w:rsid w:val="3DA90A2C"/>
    <w:rsid w:val="3DAA2B4E"/>
    <w:rsid w:val="44453000"/>
    <w:rsid w:val="46996B00"/>
    <w:rsid w:val="46ED73AD"/>
    <w:rsid w:val="482A26BE"/>
    <w:rsid w:val="48A6459C"/>
    <w:rsid w:val="4A05330E"/>
    <w:rsid w:val="4C9B7E3A"/>
    <w:rsid w:val="4DCD55A0"/>
    <w:rsid w:val="4F6507F6"/>
    <w:rsid w:val="526E69C5"/>
    <w:rsid w:val="5418605D"/>
    <w:rsid w:val="547E60EB"/>
    <w:rsid w:val="57392A08"/>
    <w:rsid w:val="5A0C2BCB"/>
    <w:rsid w:val="5EF64196"/>
    <w:rsid w:val="65567F00"/>
    <w:rsid w:val="67587252"/>
    <w:rsid w:val="67F529D1"/>
    <w:rsid w:val="6B5F79E3"/>
    <w:rsid w:val="70E6518F"/>
    <w:rsid w:val="7243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Plain Text"/>
    <w:basedOn w:val="1"/>
    <w:qFormat/>
    <w:uiPriority w:val="0"/>
    <w:rPr>
      <w:rFonts w:ascii="宋体" w:hAnsi="Courier New"/>
      <w:kern w:val="0"/>
      <w:sz w:val="20"/>
    </w:rPr>
  </w:style>
  <w:style w:type="paragraph" w:styleId="6">
    <w:name w:val="footer"/>
    <w:basedOn w:val="1"/>
    <w:autoRedefine/>
    <w:unhideWhenUsed/>
    <w:qFormat/>
    <w:uiPriority w:val="0"/>
    <w:pPr>
      <w:tabs>
        <w:tab w:val="center" w:pos="4153"/>
        <w:tab w:val="right" w:pos="8306"/>
      </w:tabs>
      <w:snapToGrid w:val="0"/>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正文文本2"/>
    <w:basedOn w:val="1"/>
    <w:autoRedefine/>
    <w:qFormat/>
    <w:uiPriority w:val="0"/>
    <w:pPr>
      <w:autoSpaceDE w:val="0"/>
      <w:autoSpaceDN w:val="0"/>
    </w:pPr>
    <w:rPr>
      <w:rFonts w:cs="Times New Roman"/>
      <w:sz w:val="20"/>
      <w:lang w:val="zh-CN"/>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正文1"/>
    <w:basedOn w:val="1"/>
    <w:qFormat/>
    <w:uiPriority w:val="0"/>
    <w:pPr>
      <w:adjustRightInd w:val="0"/>
      <w:snapToGrid w:val="0"/>
      <w:spacing w:line="420" w:lineRule="atLeast"/>
      <w:textAlignment w:val="baseline"/>
    </w:pPr>
    <w:rPr>
      <w:rFonts w:ascii="宋体"/>
      <w:snapToGrid w:val="0"/>
      <w:kern w:val="0"/>
      <w:sz w:val="24"/>
      <w:szCs w:val="20"/>
    </w:rPr>
  </w:style>
  <w:style w:type="paragraph" w:customStyle="1" w:styleId="14">
    <w:name w:val="字母编号列项（一级）"/>
    <w:qFormat/>
    <w:uiPriority w:val="0"/>
    <w:pPr>
      <w:tabs>
        <w:tab w:val="left" w:pos="839"/>
      </w:tabs>
      <w:ind w:left="227" w:hanging="227"/>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4881</Words>
  <Characters>5505</Characters>
  <Lines>0</Lines>
  <Paragraphs>0</Paragraphs>
  <TotalTime>0</TotalTime>
  <ScaleCrop>false</ScaleCrop>
  <LinksUpToDate>false</LinksUpToDate>
  <CharactersWithSpaces>5532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企业用户_290563381</cp:lastModifiedBy>
  <dcterms:modified xsi:type="dcterms:W3CDTF">2025-08-11T12:45:56Z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B861A73A51684D598C3746653A89160E_13</vt:lpwstr>
  </property>
  <property fmtid="{D5CDD505-2E9C-101B-9397-08002B2CF9AE}" pid="4" name="KSOTemplateDocerSaveRecord">
    <vt:lpwstr>eyJoZGlkIjoiYWExZmNjZWIzOTRmZDljNThkZGEwZWVhMDVlMTNhNjciLCJ1c2VySWQiOiIxNTI0NzIwNTc1In0=</vt:lpwstr>
  </property>
</Properties>
</file>