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984CC">
      <w:pPr>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附件1   </w:t>
      </w:r>
      <w:bookmarkStart w:id="0" w:name="_GoBack"/>
      <w:r>
        <w:rPr>
          <w:rFonts w:hint="eastAsia" w:ascii="宋体" w:hAnsi="宋体" w:eastAsia="宋体" w:cs="宋体"/>
          <w:b/>
          <w:bCs/>
          <w:color w:val="auto"/>
          <w:kern w:val="0"/>
          <w:sz w:val="24"/>
          <w:szCs w:val="24"/>
          <w:highlight w:val="none"/>
        </w:rPr>
        <w:t>招标需求一览表</w:t>
      </w:r>
      <w:bookmarkEnd w:id="0"/>
    </w:p>
    <w:tbl>
      <w:tblPr>
        <w:tblStyle w:val="9"/>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794"/>
        <w:gridCol w:w="4907"/>
        <w:gridCol w:w="597"/>
        <w:gridCol w:w="1048"/>
        <w:gridCol w:w="1392"/>
        <w:gridCol w:w="1355"/>
        <w:gridCol w:w="1048"/>
        <w:gridCol w:w="1733"/>
      </w:tblGrid>
      <w:tr w14:paraId="7118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0" w:type="auto"/>
            <w:vAlign w:val="center"/>
          </w:tcPr>
          <w:p w14:paraId="3BA797A4">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shd w:val="clear" w:color="auto" w:fill="auto"/>
            <w:vAlign w:val="center"/>
          </w:tcPr>
          <w:p w14:paraId="78753814">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4907" w:type="dxa"/>
            <w:shd w:val="clear" w:color="auto" w:fill="auto"/>
            <w:vAlign w:val="center"/>
          </w:tcPr>
          <w:p w14:paraId="0F8F5F76">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597" w:type="dxa"/>
            <w:shd w:val="clear" w:color="auto" w:fill="auto"/>
            <w:vAlign w:val="center"/>
          </w:tcPr>
          <w:p w14:paraId="2BF7DCE7">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48" w:type="dxa"/>
            <w:shd w:val="clear" w:color="auto" w:fill="auto"/>
            <w:vAlign w:val="center"/>
          </w:tcPr>
          <w:p w14:paraId="7C8DB8B2">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92" w:type="dxa"/>
            <w:shd w:val="clear" w:color="auto" w:fill="auto"/>
            <w:vAlign w:val="center"/>
          </w:tcPr>
          <w:p w14:paraId="43010D05">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1355" w:type="dxa"/>
            <w:vAlign w:val="center"/>
          </w:tcPr>
          <w:p w14:paraId="4DE8E411">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1048" w:type="dxa"/>
            <w:shd w:val="clear" w:color="auto" w:fill="auto"/>
            <w:vAlign w:val="center"/>
          </w:tcPr>
          <w:p w14:paraId="763AEB24">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1733" w:type="dxa"/>
            <w:shd w:val="clear" w:color="auto" w:fill="auto"/>
            <w:vAlign w:val="center"/>
          </w:tcPr>
          <w:p w14:paraId="51670421">
            <w:pPr>
              <w:widowControl/>
              <w:snapToGrid w:val="0"/>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3B0F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60649A94">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气溶胶药剂及电源通信配件等采购项目</w:t>
            </w:r>
          </w:p>
        </w:tc>
        <w:tc>
          <w:tcPr>
            <w:tcW w:w="0" w:type="auto"/>
            <w:shd w:val="clear" w:color="auto" w:fill="auto"/>
            <w:vAlign w:val="center"/>
          </w:tcPr>
          <w:p w14:paraId="71340BF7">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壳体-Ⅰ型</w:t>
            </w:r>
          </w:p>
        </w:tc>
        <w:tc>
          <w:tcPr>
            <w:tcW w:w="4907" w:type="dxa"/>
            <w:shd w:val="clear" w:color="auto" w:fill="auto"/>
            <w:vAlign w:val="center"/>
          </w:tcPr>
          <w:p w14:paraId="29EFA071">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外观质量：表面平整，不应有明显裂纹、脱落、缺角、鼓泡、空洞、凹陷等缺陷</w:t>
            </w:r>
          </w:p>
          <w:p w14:paraId="5E932BB3">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材料绝缘性：≥1.5×10</w:t>
            </w:r>
            <w:r>
              <w:rPr>
                <w:rFonts w:hint="eastAsia" w:ascii="宋体" w:hAnsi="宋体" w:eastAsia="宋体" w:cs="宋体"/>
                <w:color w:val="auto"/>
                <w:sz w:val="24"/>
                <w:szCs w:val="24"/>
                <w:highlight w:val="none"/>
                <w:vertAlign w:val="superscript"/>
              </w:rPr>
              <w:t>11</w:t>
            </w:r>
            <w:r>
              <w:rPr>
                <w:rFonts w:hint="eastAsia" w:ascii="宋体" w:hAnsi="宋体" w:eastAsia="宋体" w:cs="宋体"/>
                <w:color w:val="auto"/>
                <w:sz w:val="24"/>
                <w:szCs w:val="24"/>
                <w:highlight w:val="none"/>
              </w:rPr>
              <w:t>Ω•m</w:t>
            </w:r>
          </w:p>
          <w:p w14:paraId="4E82A870">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环境温度：-25℃～80℃</w:t>
            </w:r>
          </w:p>
          <w:p w14:paraId="1E625821">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相对湿度：≤90%</w:t>
            </w:r>
          </w:p>
          <w:p w14:paraId="45067BC5">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使用寿命：不低于5年</w:t>
            </w:r>
          </w:p>
        </w:tc>
        <w:tc>
          <w:tcPr>
            <w:tcW w:w="597" w:type="dxa"/>
            <w:shd w:val="clear" w:color="000000" w:fill="FFFFFF"/>
            <w:vAlign w:val="center"/>
          </w:tcPr>
          <w:p w14:paraId="34B81309">
            <w:pPr>
              <w:widowControl/>
              <w:snapToGrid w:val="0"/>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w:t>
            </w:r>
          </w:p>
        </w:tc>
        <w:tc>
          <w:tcPr>
            <w:tcW w:w="1048" w:type="dxa"/>
            <w:shd w:val="clear" w:color="000000" w:fill="FFFFFF"/>
            <w:vAlign w:val="center"/>
          </w:tcPr>
          <w:p w14:paraId="1BE81371">
            <w:pPr>
              <w:widowControl/>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w:t>
            </w:r>
          </w:p>
        </w:tc>
        <w:tc>
          <w:tcPr>
            <w:tcW w:w="1392" w:type="dxa"/>
            <w:shd w:val="clear" w:color="auto" w:fill="auto"/>
            <w:vAlign w:val="center"/>
          </w:tcPr>
          <w:p w14:paraId="354C8D32">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044AE186">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273D4D9E">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restart"/>
            <w:shd w:val="clear" w:color="auto" w:fill="auto"/>
            <w:vAlign w:val="center"/>
          </w:tcPr>
          <w:p w14:paraId="5A70395B">
            <w:pPr>
              <w:widowControl/>
              <w:snapToGrid w:val="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2022年1月1日至投标截止日内，完成消防物资或电子元器件相类似业绩不少于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份，累计金额不少于450万。注：业绩必须提供对应的合同复印件、发票和相应查验截图。</w:t>
            </w:r>
          </w:p>
        </w:tc>
      </w:tr>
      <w:tr w14:paraId="3FDC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E71FD9F">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51B2F49A">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气溶胶药剂-Ⅰ型</w:t>
            </w:r>
          </w:p>
        </w:tc>
        <w:tc>
          <w:tcPr>
            <w:tcW w:w="4907" w:type="dxa"/>
            <w:shd w:val="clear" w:color="auto" w:fill="auto"/>
            <w:vAlign w:val="center"/>
          </w:tcPr>
          <w:p w14:paraId="6A15EEC8">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响应温度：350-420℃</w:t>
            </w:r>
          </w:p>
          <w:p w14:paraId="379C3AD3">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响应时间：≤10s</w:t>
            </w:r>
          </w:p>
          <w:p w14:paraId="4FAD3B30">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重量：15g</w:t>
            </w:r>
          </w:p>
          <w:p w14:paraId="24C351C1">
            <w:pPr>
              <w:ind w:firstLine="0" w:firstLineChars="0"/>
              <w:rPr>
                <w:rFonts w:hint="eastAsia" w:ascii="宋体" w:hAnsi="宋体" w:eastAsia="宋体" w:cs="宋体"/>
                <w:color w:val="auto"/>
                <w:sz w:val="24"/>
                <w:szCs w:val="24"/>
                <w:highlight w:val="none"/>
                <w:vertAlign w:val="superscript"/>
                <w:lang w:val="en-US" w:eastAsia="zh-CN"/>
              </w:rPr>
            </w:pPr>
            <w:r>
              <w:rPr>
                <w:rFonts w:hint="eastAsia" w:ascii="宋体" w:hAnsi="宋体" w:eastAsia="宋体" w:cs="宋体"/>
                <w:color w:val="auto"/>
                <w:sz w:val="24"/>
                <w:szCs w:val="24"/>
                <w:highlight w:val="none"/>
                <w:lang w:val="en-US" w:eastAsia="zh-CN"/>
              </w:rPr>
              <w:t>单支最大保护容积：0.01m</w:t>
            </w:r>
            <w:r>
              <w:rPr>
                <w:rFonts w:hint="eastAsia" w:ascii="宋体" w:hAnsi="宋体" w:eastAsia="宋体" w:cs="宋体"/>
                <w:color w:val="auto"/>
                <w:sz w:val="24"/>
                <w:szCs w:val="24"/>
                <w:highlight w:val="none"/>
                <w:vertAlign w:val="superscript"/>
                <w:lang w:val="en-US" w:eastAsia="zh-CN"/>
              </w:rPr>
              <w:t>3</w:t>
            </w:r>
          </w:p>
          <w:p w14:paraId="73547D21">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反应后固态沉降物绝缘强度≥1MΩ</w:t>
            </w:r>
          </w:p>
          <w:p w14:paraId="3A53DFD6">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反应后气体的电绝缘性≥0.5×10</w:t>
            </w:r>
            <w:r>
              <w:rPr>
                <w:rFonts w:hint="eastAsia" w:ascii="宋体" w:hAnsi="宋体" w:eastAsia="宋体" w:cs="宋体"/>
                <w:color w:val="auto"/>
                <w:sz w:val="24"/>
                <w:szCs w:val="24"/>
                <w:highlight w:val="none"/>
                <w:vertAlign w:val="superscript"/>
                <w:lang w:val="en-US" w:eastAsia="zh-CN"/>
              </w:rPr>
              <w:t>10</w:t>
            </w:r>
            <w:r>
              <w:rPr>
                <w:rFonts w:hint="eastAsia" w:ascii="宋体" w:hAnsi="宋体" w:eastAsia="宋体" w:cs="宋体"/>
                <w:color w:val="auto"/>
                <w:sz w:val="24"/>
                <w:szCs w:val="24"/>
                <w:highlight w:val="none"/>
                <w:lang w:val="en-US" w:eastAsia="zh-CN"/>
              </w:rPr>
              <w:t>Ω•m</w:t>
            </w:r>
          </w:p>
          <w:p w14:paraId="57A815F7">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使用寿命：不低于5年</w:t>
            </w:r>
          </w:p>
        </w:tc>
        <w:tc>
          <w:tcPr>
            <w:tcW w:w="597" w:type="dxa"/>
            <w:shd w:val="clear" w:color="000000" w:fill="FFFFFF"/>
            <w:vAlign w:val="center"/>
          </w:tcPr>
          <w:p w14:paraId="0DFD8D41">
            <w:pPr>
              <w:widowControl/>
              <w:snapToGrid w:val="0"/>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支</w:t>
            </w:r>
          </w:p>
        </w:tc>
        <w:tc>
          <w:tcPr>
            <w:tcW w:w="1048" w:type="dxa"/>
            <w:shd w:val="clear" w:color="000000" w:fill="FFFFFF"/>
            <w:vAlign w:val="center"/>
          </w:tcPr>
          <w:p w14:paraId="50639816">
            <w:pPr>
              <w:widowControl/>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w:t>
            </w:r>
          </w:p>
        </w:tc>
        <w:tc>
          <w:tcPr>
            <w:tcW w:w="1392" w:type="dxa"/>
            <w:shd w:val="clear" w:color="auto" w:fill="auto"/>
            <w:vAlign w:val="center"/>
          </w:tcPr>
          <w:p w14:paraId="2E8FBC1F">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7FF81DC4">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36E1AE12">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667D7317">
            <w:pPr>
              <w:widowControl/>
              <w:snapToGrid w:val="0"/>
              <w:ind w:firstLine="0" w:firstLineChars="0"/>
              <w:rPr>
                <w:rFonts w:hint="eastAsia" w:ascii="宋体" w:hAnsi="宋体" w:eastAsia="宋体" w:cs="宋体"/>
                <w:color w:val="auto"/>
                <w:sz w:val="24"/>
                <w:szCs w:val="24"/>
                <w:highlight w:val="none"/>
              </w:rPr>
            </w:pPr>
          </w:p>
        </w:tc>
      </w:tr>
      <w:tr w14:paraId="2106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7215A17">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37547A92">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壳体-Ⅱ型</w:t>
            </w:r>
          </w:p>
        </w:tc>
        <w:tc>
          <w:tcPr>
            <w:tcW w:w="4907" w:type="dxa"/>
            <w:shd w:val="clear" w:color="auto" w:fill="auto"/>
            <w:vAlign w:val="center"/>
          </w:tcPr>
          <w:p w14:paraId="6F59DA72">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外观质量：表面平整，不应有明显裂纹、脱落、缺角、鼓泡、空洞、凹陷等缺陷</w:t>
            </w:r>
          </w:p>
          <w:p w14:paraId="0D7758E9">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材料绝缘性：≥10</w:t>
            </w:r>
            <w:r>
              <w:rPr>
                <w:rFonts w:hint="eastAsia" w:ascii="宋体" w:hAnsi="宋体" w:eastAsia="宋体" w:cs="宋体"/>
                <w:color w:val="auto"/>
                <w:sz w:val="24"/>
                <w:szCs w:val="24"/>
                <w:highlight w:val="none"/>
                <w:vertAlign w:val="superscript"/>
              </w:rPr>
              <w:t>8</w:t>
            </w:r>
            <w:r>
              <w:rPr>
                <w:rFonts w:hint="eastAsia" w:ascii="宋体" w:hAnsi="宋体" w:eastAsia="宋体" w:cs="宋体"/>
                <w:color w:val="auto"/>
                <w:sz w:val="24"/>
                <w:szCs w:val="24"/>
                <w:highlight w:val="none"/>
              </w:rPr>
              <w:t>Ω•m</w:t>
            </w:r>
          </w:p>
          <w:p w14:paraId="3C3DFCE9">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规格型号：不大于130mm×20mm×20mm</w:t>
            </w:r>
          </w:p>
          <w:p w14:paraId="7133A380">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环境温度：-25℃～70℃</w:t>
            </w:r>
          </w:p>
          <w:p w14:paraId="463AB5A3">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相对湿度：≤95%</w:t>
            </w:r>
          </w:p>
          <w:p w14:paraId="132B8933">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使用寿命：不低于5年</w:t>
            </w:r>
          </w:p>
        </w:tc>
        <w:tc>
          <w:tcPr>
            <w:tcW w:w="597" w:type="dxa"/>
            <w:shd w:val="clear" w:color="000000" w:fill="FFFFFF"/>
            <w:vAlign w:val="center"/>
          </w:tcPr>
          <w:p w14:paraId="71E35CA3">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w:t>
            </w:r>
          </w:p>
        </w:tc>
        <w:tc>
          <w:tcPr>
            <w:tcW w:w="1048" w:type="dxa"/>
            <w:shd w:val="clear" w:color="000000" w:fill="FFFFFF"/>
            <w:vAlign w:val="center"/>
          </w:tcPr>
          <w:p w14:paraId="4C4C0ADD">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4816</w:t>
            </w:r>
          </w:p>
        </w:tc>
        <w:tc>
          <w:tcPr>
            <w:tcW w:w="1392" w:type="dxa"/>
            <w:shd w:val="clear" w:color="auto" w:fill="auto"/>
            <w:vAlign w:val="center"/>
          </w:tcPr>
          <w:p w14:paraId="31A7495B">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02FA5525">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625CB955">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6237549A">
            <w:pPr>
              <w:widowControl/>
              <w:snapToGrid w:val="0"/>
              <w:ind w:firstLine="0" w:firstLineChars="0"/>
              <w:rPr>
                <w:rFonts w:hint="eastAsia" w:ascii="宋体" w:hAnsi="宋体" w:eastAsia="宋体" w:cs="宋体"/>
                <w:color w:val="auto"/>
                <w:sz w:val="24"/>
                <w:szCs w:val="24"/>
                <w:highlight w:val="none"/>
              </w:rPr>
            </w:pPr>
          </w:p>
        </w:tc>
      </w:tr>
      <w:tr w14:paraId="7806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1B92E0D">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2D4CE51F">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气溶胶药剂-Ⅱ型</w:t>
            </w:r>
          </w:p>
        </w:tc>
        <w:tc>
          <w:tcPr>
            <w:tcW w:w="4907" w:type="dxa"/>
            <w:shd w:val="clear" w:color="auto" w:fill="auto"/>
            <w:vAlign w:val="center"/>
          </w:tcPr>
          <w:p w14:paraId="2D080915">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响应温度：160℃～200℃</w:t>
            </w:r>
          </w:p>
          <w:p w14:paraId="7C4FD2FB">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响应时间：≤6s</w:t>
            </w:r>
          </w:p>
          <w:p w14:paraId="461E87F5">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重量：10g</w:t>
            </w:r>
          </w:p>
          <w:p w14:paraId="5A277243">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单支最大保护容积：</w:t>
            </w:r>
            <w:r>
              <w:rPr>
                <w:rFonts w:hint="eastAsia" w:ascii="宋体" w:hAnsi="宋体" w:eastAsia="宋体" w:cs="宋体"/>
                <w:color w:val="auto"/>
                <w:sz w:val="24"/>
                <w:szCs w:val="24"/>
                <w:highlight w:val="none"/>
              </w:rPr>
              <w:t>0.06m</w:t>
            </w:r>
            <w:r>
              <w:rPr>
                <w:rFonts w:hint="eastAsia" w:ascii="宋体" w:hAnsi="宋体" w:eastAsia="宋体" w:cs="宋体"/>
                <w:color w:val="auto"/>
                <w:sz w:val="24"/>
                <w:szCs w:val="24"/>
                <w:highlight w:val="none"/>
                <w:vertAlign w:val="superscript"/>
              </w:rPr>
              <w:t>3</w:t>
            </w:r>
          </w:p>
          <w:p w14:paraId="75CC6FCB">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反应后固态沉降物绝缘强度≥10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MΩ</w:t>
            </w:r>
          </w:p>
          <w:p w14:paraId="63409BBA">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反应后气体的电绝缘性≥0.5×10</w:t>
            </w:r>
            <w:r>
              <w:rPr>
                <w:rFonts w:hint="eastAsia" w:ascii="宋体" w:hAnsi="宋体" w:eastAsia="宋体" w:cs="宋体"/>
                <w:color w:val="auto"/>
                <w:sz w:val="24"/>
                <w:szCs w:val="24"/>
                <w:highlight w:val="none"/>
                <w:vertAlign w:val="superscript"/>
                <w:lang w:val="en-US" w:eastAsia="zh-CN"/>
              </w:rPr>
              <w:t>10</w:t>
            </w:r>
            <w:r>
              <w:rPr>
                <w:rFonts w:hint="eastAsia" w:ascii="宋体" w:hAnsi="宋体" w:eastAsia="宋体" w:cs="宋体"/>
                <w:color w:val="auto"/>
                <w:sz w:val="24"/>
                <w:szCs w:val="24"/>
                <w:highlight w:val="none"/>
                <w:lang w:val="en-US" w:eastAsia="zh-CN"/>
              </w:rPr>
              <w:t>Ω•m</w:t>
            </w:r>
          </w:p>
          <w:p w14:paraId="543035E6">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使用寿命：不低于5年</w:t>
            </w:r>
          </w:p>
        </w:tc>
        <w:tc>
          <w:tcPr>
            <w:tcW w:w="597" w:type="dxa"/>
            <w:shd w:val="clear" w:color="000000" w:fill="FFFFFF"/>
            <w:vAlign w:val="center"/>
          </w:tcPr>
          <w:p w14:paraId="09905E9F">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w:t>
            </w:r>
          </w:p>
        </w:tc>
        <w:tc>
          <w:tcPr>
            <w:tcW w:w="1048" w:type="dxa"/>
            <w:shd w:val="clear" w:color="000000" w:fill="FFFFFF"/>
            <w:vAlign w:val="center"/>
          </w:tcPr>
          <w:p w14:paraId="35B47BDA">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4816</w:t>
            </w:r>
          </w:p>
        </w:tc>
        <w:tc>
          <w:tcPr>
            <w:tcW w:w="1392" w:type="dxa"/>
            <w:shd w:val="clear" w:color="auto" w:fill="auto"/>
            <w:vAlign w:val="center"/>
          </w:tcPr>
          <w:p w14:paraId="62E1B497">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5A38A632">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17E1BCFC">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41C28924">
            <w:pPr>
              <w:widowControl/>
              <w:snapToGrid w:val="0"/>
              <w:ind w:firstLine="0" w:firstLineChars="0"/>
              <w:rPr>
                <w:rFonts w:hint="eastAsia" w:ascii="宋体" w:hAnsi="宋体" w:eastAsia="宋体" w:cs="宋体"/>
                <w:color w:val="auto"/>
                <w:sz w:val="24"/>
                <w:szCs w:val="24"/>
                <w:highlight w:val="none"/>
              </w:rPr>
            </w:pPr>
          </w:p>
        </w:tc>
      </w:tr>
      <w:tr w14:paraId="6AC1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4CE941A">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1011D6E8">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壳体-Ⅲ型</w:t>
            </w:r>
          </w:p>
        </w:tc>
        <w:tc>
          <w:tcPr>
            <w:tcW w:w="4907" w:type="dxa"/>
            <w:shd w:val="clear" w:color="auto" w:fill="auto"/>
            <w:vAlign w:val="center"/>
          </w:tcPr>
          <w:p w14:paraId="6A355C3A">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外观质量：表面平整，不应有明显裂纹、脱落、缺角、鼓泡、空洞、凹陷等缺陷</w:t>
            </w:r>
          </w:p>
          <w:p w14:paraId="77781F90">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材料绝缘性：≥10</w:t>
            </w:r>
            <w:r>
              <w:rPr>
                <w:rFonts w:hint="eastAsia" w:ascii="宋体" w:hAnsi="宋体" w:eastAsia="宋体" w:cs="宋体"/>
                <w:color w:val="auto"/>
                <w:sz w:val="24"/>
                <w:szCs w:val="24"/>
                <w:highlight w:val="none"/>
                <w:vertAlign w:val="superscript"/>
              </w:rPr>
              <w:t>8</w:t>
            </w:r>
            <w:r>
              <w:rPr>
                <w:rFonts w:hint="eastAsia" w:ascii="宋体" w:hAnsi="宋体" w:eastAsia="宋体" w:cs="宋体"/>
                <w:color w:val="auto"/>
                <w:sz w:val="24"/>
                <w:szCs w:val="24"/>
                <w:highlight w:val="none"/>
              </w:rPr>
              <w:t>Ω•m</w:t>
            </w:r>
          </w:p>
          <w:p w14:paraId="6817405E">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规格型号：不大于150mm×50mm×45mm</w:t>
            </w:r>
          </w:p>
          <w:p w14:paraId="32751FFA">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交流耐压等级：≥10kV</w:t>
            </w:r>
          </w:p>
          <w:p w14:paraId="1791E954">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材料绝缘性</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vertAlign w:val="superscript"/>
              </w:rPr>
              <w:t>8</w:t>
            </w:r>
            <w:r>
              <w:rPr>
                <w:rFonts w:hint="eastAsia" w:ascii="宋体" w:hAnsi="宋体" w:eastAsia="宋体" w:cs="宋体"/>
                <w:color w:val="auto"/>
                <w:sz w:val="24"/>
                <w:szCs w:val="24"/>
                <w:highlight w:val="none"/>
              </w:rPr>
              <w:t>Ω•m</w:t>
            </w:r>
          </w:p>
          <w:p w14:paraId="749C4C78">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环境温度：-20℃～60℃</w:t>
            </w:r>
          </w:p>
          <w:p w14:paraId="7796FB75">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相对湿度：≤95%</w:t>
            </w:r>
          </w:p>
          <w:p w14:paraId="72207453">
            <w:pPr>
              <w:spacing w:line="28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使用寿命：不低于5年</w:t>
            </w:r>
          </w:p>
        </w:tc>
        <w:tc>
          <w:tcPr>
            <w:tcW w:w="597" w:type="dxa"/>
            <w:shd w:val="clear" w:color="000000" w:fill="FFFFFF"/>
            <w:vAlign w:val="center"/>
          </w:tcPr>
          <w:p w14:paraId="64FA9E9B">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w:t>
            </w:r>
          </w:p>
        </w:tc>
        <w:tc>
          <w:tcPr>
            <w:tcW w:w="1048" w:type="dxa"/>
            <w:shd w:val="clear" w:color="000000" w:fill="FFFFFF"/>
            <w:vAlign w:val="center"/>
          </w:tcPr>
          <w:p w14:paraId="7241E193">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13343</w:t>
            </w:r>
          </w:p>
        </w:tc>
        <w:tc>
          <w:tcPr>
            <w:tcW w:w="1392" w:type="dxa"/>
            <w:shd w:val="clear" w:color="auto" w:fill="auto"/>
            <w:vAlign w:val="center"/>
          </w:tcPr>
          <w:p w14:paraId="71001317">
            <w:pPr>
              <w:widowControl/>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7E136EB3">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6A8886AC">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12050450">
            <w:pPr>
              <w:widowControl/>
              <w:snapToGrid w:val="0"/>
              <w:ind w:firstLine="0" w:firstLineChars="0"/>
              <w:rPr>
                <w:rFonts w:hint="eastAsia" w:ascii="宋体" w:hAnsi="宋体" w:eastAsia="宋体" w:cs="宋体"/>
                <w:color w:val="auto"/>
                <w:sz w:val="24"/>
                <w:szCs w:val="24"/>
                <w:highlight w:val="none"/>
              </w:rPr>
            </w:pPr>
          </w:p>
        </w:tc>
      </w:tr>
      <w:tr w14:paraId="6BA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D5936A1">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25E68E17">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气溶胶药剂-Ⅲ型</w:t>
            </w:r>
          </w:p>
        </w:tc>
        <w:tc>
          <w:tcPr>
            <w:tcW w:w="4907" w:type="dxa"/>
            <w:shd w:val="clear" w:color="auto" w:fill="auto"/>
            <w:vAlign w:val="center"/>
          </w:tcPr>
          <w:p w14:paraId="4ACF85C4">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响应温度：70℃～90℃</w:t>
            </w:r>
          </w:p>
          <w:p w14:paraId="2E63AF5F">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响应时间：≤15s</w:t>
            </w:r>
          </w:p>
          <w:p w14:paraId="52FD4B2A">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重量：100g</w:t>
            </w:r>
          </w:p>
          <w:p w14:paraId="310204D6">
            <w:pPr>
              <w:ind w:firstLine="0" w:firstLineChars="0"/>
              <w:rPr>
                <w:rFonts w:hint="eastAsia" w:ascii="宋体" w:hAnsi="宋体" w:eastAsia="宋体" w:cs="宋体"/>
                <w:color w:val="auto"/>
                <w:sz w:val="24"/>
                <w:szCs w:val="24"/>
                <w:highlight w:val="none"/>
                <w:vertAlign w:val="superscript"/>
                <w:lang w:val="en-US" w:eastAsia="zh-CN"/>
              </w:rPr>
            </w:pPr>
            <w:r>
              <w:rPr>
                <w:rFonts w:hint="eastAsia" w:ascii="宋体" w:hAnsi="宋体" w:eastAsia="宋体" w:cs="宋体"/>
                <w:color w:val="auto"/>
                <w:sz w:val="24"/>
                <w:szCs w:val="24"/>
                <w:highlight w:val="none"/>
                <w:lang w:val="en-US" w:eastAsia="zh-CN"/>
              </w:rPr>
              <w:t>单支最大保护容积：1m</w:t>
            </w:r>
            <w:r>
              <w:rPr>
                <w:rFonts w:hint="eastAsia" w:ascii="宋体" w:hAnsi="宋体" w:eastAsia="宋体" w:cs="宋体"/>
                <w:color w:val="auto"/>
                <w:sz w:val="24"/>
                <w:szCs w:val="24"/>
                <w:highlight w:val="none"/>
                <w:vertAlign w:val="superscript"/>
                <w:lang w:val="en-US" w:eastAsia="zh-CN"/>
              </w:rPr>
              <w:t>3</w:t>
            </w:r>
          </w:p>
          <w:p w14:paraId="114A1819">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反应后固态沉降物绝缘强度≥10</w:t>
            </w:r>
            <w:r>
              <w:rPr>
                <w:rFonts w:hint="eastAsia" w:ascii="宋体" w:hAnsi="宋体" w:eastAsia="宋体" w:cs="宋体"/>
                <w:color w:val="auto"/>
                <w:sz w:val="24"/>
                <w:szCs w:val="24"/>
                <w:highlight w:val="none"/>
                <w:vertAlign w:val="superscript"/>
                <w:lang w:val="en-US" w:eastAsia="zh-CN"/>
              </w:rPr>
              <w:t>4</w:t>
            </w:r>
            <w:r>
              <w:rPr>
                <w:rFonts w:hint="eastAsia" w:ascii="宋体" w:hAnsi="宋体" w:eastAsia="宋体" w:cs="宋体"/>
                <w:color w:val="auto"/>
                <w:sz w:val="24"/>
                <w:szCs w:val="24"/>
                <w:highlight w:val="none"/>
                <w:lang w:val="en-US" w:eastAsia="zh-CN"/>
              </w:rPr>
              <w:t>MΩ</w:t>
            </w:r>
          </w:p>
          <w:p w14:paraId="344C31EE">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反应后气体的电绝缘性≥0.5×10</w:t>
            </w:r>
            <w:r>
              <w:rPr>
                <w:rFonts w:hint="eastAsia" w:ascii="宋体" w:hAnsi="宋体" w:eastAsia="宋体" w:cs="宋体"/>
                <w:color w:val="auto"/>
                <w:sz w:val="24"/>
                <w:szCs w:val="24"/>
                <w:highlight w:val="none"/>
                <w:vertAlign w:val="superscript"/>
                <w:lang w:val="en-US" w:eastAsia="zh-CN"/>
              </w:rPr>
              <w:t>10</w:t>
            </w:r>
            <w:r>
              <w:rPr>
                <w:rFonts w:hint="eastAsia" w:ascii="宋体" w:hAnsi="宋体" w:eastAsia="宋体" w:cs="宋体"/>
                <w:color w:val="auto"/>
                <w:sz w:val="24"/>
                <w:szCs w:val="24"/>
                <w:highlight w:val="none"/>
                <w:lang w:val="en-US" w:eastAsia="zh-CN"/>
              </w:rPr>
              <w:t>Ω•m</w:t>
            </w:r>
          </w:p>
          <w:p w14:paraId="6F2B18E9">
            <w:pPr>
              <w:spacing w:line="2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使用寿命：不低于5年</w:t>
            </w:r>
          </w:p>
        </w:tc>
        <w:tc>
          <w:tcPr>
            <w:tcW w:w="597" w:type="dxa"/>
            <w:shd w:val="clear" w:color="000000" w:fill="FFFFFF"/>
            <w:vAlign w:val="center"/>
          </w:tcPr>
          <w:p w14:paraId="6283261A">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w:t>
            </w:r>
          </w:p>
        </w:tc>
        <w:tc>
          <w:tcPr>
            <w:tcW w:w="1048" w:type="dxa"/>
            <w:shd w:val="clear" w:color="000000" w:fill="FFFFFF"/>
            <w:vAlign w:val="center"/>
          </w:tcPr>
          <w:p w14:paraId="5AB57DB5">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13343</w:t>
            </w:r>
          </w:p>
        </w:tc>
        <w:tc>
          <w:tcPr>
            <w:tcW w:w="1392" w:type="dxa"/>
            <w:shd w:val="clear" w:color="auto" w:fill="auto"/>
            <w:vAlign w:val="center"/>
          </w:tcPr>
          <w:p w14:paraId="318E6738">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5BC3FEAC">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3D7C0CBD">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2C7749B3">
            <w:pPr>
              <w:widowControl/>
              <w:snapToGrid w:val="0"/>
              <w:ind w:firstLine="0" w:firstLineChars="0"/>
              <w:rPr>
                <w:rFonts w:hint="eastAsia" w:ascii="宋体" w:hAnsi="宋体" w:eastAsia="宋体" w:cs="宋体"/>
                <w:color w:val="auto"/>
                <w:sz w:val="24"/>
                <w:szCs w:val="24"/>
                <w:highlight w:val="none"/>
              </w:rPr>
            </w:pPr>
          </w:p>
        </w:tc>
      </w:tr>
      <w:tr w14:paraId="44FA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F34244A">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7622E6D9">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专用型电机</w:t>
            </w:r>
          </w:p>
        </w:tc>
        <w:tc>
          <w:tcPr>
            <w:tcW w:w="4907" w:type="dxa"/>
            <w:shd w:val="clear" w:color="auto" w:fill="auto"/>
            <w:vAlign w:val="center"/>
          </w:tcPr>
          <w:p w14:paraId="5A9D902B">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材料安全：选用符合安全标准的材料，确保其在高温、磁场等极端条件下仍能保持稳定的物理和化学性质，不产生有害物质。</w:t>
            </w:r>
          </w:p>
          <w:p w14:paraId="269CAD9B">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结构安全：设计合理的结构，避免应力集中和振动，减少因结构问题导致的故障和事故。同时，确保设备各部件之间的连接牢固可靠，防止松动或脱落。</w:t>
            </w:r>
          </w:p>
        </w:tc>
        <w:tc>
          <w:tcPr>
            <w:tcW w:w="597" w:type="dxa"/>
            <w:shd w:val="clear" w:color="000000" w:fill="FFFFFF"/>
            <w:vAlign w:val="center"/>
          </w:tcPr>
          <w:p w14:paraId="4FCE8C34">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w:t>
            </w:r>
          </w:p>
        </w:tc>
        <w:tc>
          <w:tcPr>
            <w:tcW w:w="1048" w:type="dxa"/>
            <w:shd w:val="clear" w:color="000000" w:fill="FFFFFF"/>
            <w:vAlign w:val="center"/>
          </w:tcPr>
          <w:p w14:paraId="1A8C1D12">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13343</w:t>
            </w:r>
          </w:p>
        </w:tc>
        <w:tc>
          <w:tcPr>
            <w:tcW w:w="1392" w:type="dxa"/>
            <w:shd w:val="clear" w:color="auto" w:fill="auto"/>
            <w:vAlign w:val="center"/>
          </w:tcPr>
          <w:p w14:paraId="63A961ED">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359DA5D4">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58984E40">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5EEDFF2F">
            <w:pPr>
              <w:widowControl/>
              <w:snapToGrid w:val="0"/>
              <w:ind w:firstLine="0" w:firstLineChars="0"/>
              <w:rPr>
                <w:rFonts w:hint="eastAsia" w:ascii="宋体" w:hAnsi="宋体" w:eastAsia="宋体" w:cs="宋体"/>
                <w:color w:val="auto"/>
                <w:sz w:val="24"/>
                <w:szCs w:val="24"/>
                <w:highlight w:val="none"/>
              </w:rPr>
            </w:pPr>
          </w:p>
        </w:tc>
      </w:tr>
      <w:tr w14:paraId="63D6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4513A865">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309DB2F2">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电源模块</w:t>
            </w:r>
          </w:p>
        </w:tc>
        <w:tc>
          <w:tcPr>
            <w:tcW w:w="4907" w:type="dxa"/>
            <w:shd w:val="clear" w:color="auto" w:fill="auto"/>
            <w:vAlign w:val="center"/>
          </w:tcPr>
          <w:p w14:paraId="39FEAB64">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电压范围：2.8-3.2v</w:t>
            </w:r>
          </w:p>
          <w:p w14:paraId="0E667518">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尺寸：直径≤35mm</w:t>
            </w:r>
          </w:p>
          <w:p w14:paraId="6F0CF437">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重量：≤7g</w:t>
            </w:r>
          </w:p>
          <w:p w14:paraId="460384E8">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使用寿命：≥5年</w:t>
            </w:r>
          </w:p>
          <w:p w14:paraId="4A27D3BD">
            <w:pPr>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输出功率：模块应具备足够的功率容量和一定的过载能力，以保障系统在全负载下的稳定运行。</w:t>
            </w:r>
          </w:p>
          <w:p w14:paraId="61518D79">
            <w:pPr>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稳压精度：具有较高的负载和线性调整率，输出纹波和噪声应控制在较低水平。</w:t>
            </w:r>
          </w:p>
        </w:tc>
        <w:tc>
          <w:tcPr>
            <w:tcW w:w="597" w:type="dxa"/>
            <w:shd w:val="clear" w:color="000000" w:fill="FFFFFF"/>
            <w:vAlign w:val="center"/>
          </w:tcPr>
          <w:p w14:paraId="24AF8895">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c>
          <w:tcPr>
            <w:tcW w:w="1048" w:type="dxa"/>
            <w:shd w:val="clear" w:color="000000" w:fill="FFFFFF"/>
            <w:vAlign w:val="center"/>
          </w:tcPr>
          <w:p w14:paraId="61F8BA90">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13343</w:t>
            </w:r>
          </w:p>
        </w:tc>
        <w:tc>
          <w:tcPr>
            <w:tcW w:w="1392" w:type="dxa"/>
            <w:shd w:val="clear" w:color="auto" w:fill="auto"/>
            <w:vAlign w:val="center"/>
          </w:tcPr>
          <w:p w14:paraId="605E4275">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7EB94234">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0D84BADC">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065C2824">
            <w:pPr>
              <w:widowControl/>
              <w:snapToGrid w:val="0"/>
              <w:ind w:firstLine="0" w:firstLineChars="0"/>
              <w:rPr>
                <w:rFonts w:hint="eastAsia" w:ascii="宋体" w:hAnsi="宋体" w:eastAsia="宋体" w:cs="宋体"/>
                <w:color w:val="auto"/>
                <w:sz w:val="24"/>
                <w:szCs w:val="24"/>
                <w:highlight w:val="none"/>
              </w:rPr>
            </w:pPr>
          </w:p>
        </w:tc>
      </w:tr>
      <w:tr w14:paraId="0B4A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1874C98">
            <w:pPr>
              <w:widowControl/>
              <w:snapToGrid w:val="0"/>
              <w:ind w:firstLine="0" w:firstLineChars="0"/>
              <w:rPr>
                <w:rFonts w:hint="eastAsia" w:ascii="宋体" w:hAnsi="宋体" w:eastAsia="宋体" w:cs="宋体"/>
                <w:color w:val="auto"/>
                <w:sz w:val="24"/>
                <w:szCs w:val="24"/>
                <w:highlight w:val="none"/>
              </w:rPr>
            </w:pPr>
          </w:p>
        </w:tc>
        <w:tc>
          <w:tcPr>
            <w:tcW w:w="0" w:type="auto"/>
            <w:shd w:val="clear" w:color="auto" w:fill="auto"/>
            <w:vAlign w:val="center"/>
          </w:tcPr>
          <w:p w14:paraId="2F81DCD9">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通信板卡</w:t>
            </w:r>
          </w:p>
        </w:tc>
        <w:tc>
          <w:tcPr>
            <w:tcW w:w="4907" w:type="dxa"/>
            <w:shd w:val="clear" w:color="auto" w:fill="auto"/>
            <w:vAlign w:val="center"/>
          </w:tcPr>
          <w:p w14:paraId="7A787E38">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网络制式：支持项目单位无线专网</w:t>
            </w:r>
          </w:p>
          <w:p w14:paraId="09F9173F">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天线增益：≥3dBi</w:t>
            </w:r>
          </w:p>
          <w:p w14:paraId="71AB4BB4">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承载最大功率：≤50W</w:t>
            </w:r>
          </w:p>
          <w:p w14:paraId="7E8E42A1">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处理性能：板卡的数据处理容量应满足高端应用场景的需求，提供极高的吞吐量和极低的处理延迟，确保无瓶颈转发。</w:t>
            </w:r>
          </w:p>
          <w:p w14:paraId="3DFBFE4B">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端口容量：提供的网络端口数量应具备良好的扩展性，满足高密度接入和汇聚的需求。</w:t>
            </w:r>
          </w:p>
          <w:p w14:paraId="0EB94E3D">
            <w:pPr>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缓存能力：具备充足的数据包缓存空间，应对网络突发流量，保证在高负载下的业务连续性。</w:t>
            </w:r>
          </w:p>
        </w:tc>
        <w:tc>
          <w:tcPr>
            <w:tcW w:w="597" w:type="dxa"/>
            <w:shd w:val="clear" w:color="000000" w:fill="FFFFFF"/>
            <w:vAlign w:val="center"/>
          </w:tcPr>
          <w:p w14:paraId="33D9635D">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c>
          <w:tcPr>
            <w:tcW w:w="1048" w:type="dxa"/>
            <w:shd w:val="clear" w:color="000000" w:fill="FFFFFF"/>
            <w:vAlign w:val="center"/>
          </w:tcPr>
          <w:p w14:paraId="2F63B6D9">
            <w:pPr>
              <w:widowControl/>
              <w:snapToGrid w:val="0"/>
              <w:ind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13343</w:t>
            </w:r>
          </w:p>
        </w:tc>
        <w:tc>
          <w:tcPr>
            <w:tcW w:w="1392" w:type="dxa"/>
            <w:shd w:val="clear" w:color="auto" w:fill="auto"/>
            <w:vAlign w:val="center"/>
          </w:tcPr>
          <w:p w14:paraId="3EA7DBC4">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c>
          <w:tcPr>
            <w:tcW w:w="1355" w:type="dxa"/>
            <w:vAlign w:val="center"/>
          </w:tcPr>
          <w:p w14:paraId="17E5A2DD">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tc>
        <w:tc>
          <w:tcPr>
            <w:tcW w:w="1048" w:type="dxa"/>
            <w:shd w:val="clear" w:color="auto" w:fill="auto"/>
            <w:vAlign w:val="center"/>
          </w:tcPr>
          <w:p w14:paraId="29D1DBD8">
            <w:pPr>
              <w:widowControl/>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733" w:type="dxa"/>
            <w:vMerge w:val="continue"/>
            <w:shd w:val="clear" w:color="auto" w:fill="auto"/>
            <w:vAlign w:val="center"/>
          </w:tcPr>
          <w:p w14:paraId="16FDF01F">
            <w:pPr>
              <w:widowControl/>
              <w:snapToGrid w:val="0"/>
              <w:ind w:firstLine="0" w:firstLineChars="0"/>
              <w:rPr>
                <w:rFonts w:hint="eastAsia" w:ascii="宋体" w:hAnsi="宋体" w:eastAsia="宋体" w:cs="宋体"/>
                <w:color w:val="auto"/>
                <w:sz w:val="24"/>
                <w:szCs w:val="24"/>
                <w:highlight w:val="none"/>
              </w:rPr>
            </w:pPr>
          </w:p>
        </w:tc>
      </w:tr>
    </w:tbl>
    <w:p w14:paraId="7618B99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B096718">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投标文件中提供的证明材料复印件应复印清晰、可辨认且不得遮盖、涂抹，否则视为无效。</w:t>
      </w:r>
    </w:p>
    <w:p w14:paraId="6C029A2D">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1CD5EAC">
      <w:pPr>
        <w:rPr>
          <w:rFonts w:hint="eastAsia" w:ascii="宋体" w:hAnsi="宋体" w:eastAsia="宋体" w:cs="宋体"/>
          <w:color w:val="auto"/>
          <w:sz w:val="24"/>
          <w:szCs w:val="24"/>
          <w:highlight w:val="none"/>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AA11">
    <w:pPr>
      <w:pStyle w:val="6"/>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32BD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632BD8">
                    <w:pPr>
                      <w:pStyle w:val="6"/>
                    </w:pPr>
                    <w:r>
                      <w:fldChar w:fldCharType="begin"/>
                    </w:r>
                    <w:r>
                      <w:instrText xml:space="preserve"> PAGE  \* MERGEFORMAT </w:instrText>
                    </w:r>
                    <w:r>
                      <w:fldChar w:fldCharType="separate"/>
                    </w:r>
                    <w:r>
                      <w:t>9</w:t>
                    </w:r>
                    <w:r>
                      <w:fldChar w:fldCharType="end"/>
                    </w:r>
                  </w:p>
                </w:txbxContent>
              </v:textbox>
            </v:shape>
          </w:pict>
        </mc:Fallback>
      </mc:AlternateContent>
    </w:r>
  </w:p>
  <w:p w14:paraId="04128B21">
    <w:pPr>
      <w:pStyle w:val="4"/>
      <w:spacing w:beforeLines="0" w:afterLines="0" w:line="14" w:lineRule="auto"/>
      <w:ind w:firstLine="240"/>
      <w:rPr>
        <w:rFonts w:hint="default"/>
        <w:sz w:val="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58E8">
    <w:pPr>
      <w:pStyle w:val="7"/>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CF34EC7"/>
    <w:rsid w:val="0FF52363"/>
    <w:rsid w:val="10C017AC"/>
    <w:rsid w:val="11EF4173"/>
    <w:rsid w:val="16267F4A"/>
    <w:rsid w:val="17252504"/>
    <w:rsid w:val="17832749"/>
    <w:rsid w:val="188E6C44"/>
    <w:rsid w:val="18E776A7"/>
    <w:rsid w:val="193F7A71"/>
    <w:rsid w:val="1B7955D1"/>
    <w:rsid w:val="22BC120E"/>
    <w:rsid w:val="22F71DBE"/>
    <w:rsid w:val="26BD5819"/>
    <w:rsid w:val="28455ABC"/>
    <w:rsid w:val="2EBF6414"/>
    <w:rsid w:val="332D4737"/>
    <w:rsid w:val="36FA4370"/>
    <w:rsid w:val="3A2F2590"/>
    <w:rsid w:val="3CED70CC"/>
    <w:rsid w:val="42CE694E"/>
    <w:rsid w:val="443B3EB2"/>
    <w:rsid w:val="47190892"/>
    <w:rsid w:val="4AA15384"/>
    <w:rsid w:val="4ABD7A75"/>
    <w:rsid w:val="4D2E620D"/>
    <w:rsid w:val="4F403134"/>
    <w:rsid w:val="50E64EAF"/>
    <w:rsid w:val="50EC207F"/>
    <w:rsid w:val="511E0452"/>
    <w:rsid w:val="51340035"/>
    <w:rsid w:val="516A3318"/>
    <w:rsid w:val="637846F9"/>
    <w:rsid w:val="668F4233"/>
    <w:rsid w:val="699B2708"/>
    <w:rsid w:val="6B0F6C92"/>
    <w:rsid w:val="6B8F54C3"/>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字母编号列项（一级）"/>
    <w:autoRedefine/>
    <w:qFormat/>
    <w:uiPriority w:val="0"/>
    <w:pPr>
      <w:tabs>
        <w:tab w:val="left" w:pos="839"/>
      </w:tabs>
      <w:ind w:left="227" w:hanging="227"/>
      <w:jc w:val="both"/>
    </w:pPr>
    <w:rPr>
      <w:rFonts w:ascii="宋体" w:hAnsi="Times New Roman" w:eastAsia="宋体" w:cs="Times New Roman"/>
      <w:sz w:val="21"/>
      <w:lang w:val="en-US" w:eastAsia="zh-CN" w:bidi="ar-SA"/>
    </w:rPr>
  </w:style>
  <w:style w:type="paragraph" w:styleId="1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5616</Words>
  <Characters>6263</Characters>
  <Lines>0</Lines>
  <Paragraphs>0</Paragraphs>
  <TotalTime>0</TotalTime>
  <ScaleCrop>false</ScaleCrop>
  <LinksUpToDate>false</LinksUpToDate>
  <CharactersWithSpaces>6287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2025-09-22T09:31:18Z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