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tbl>
      <w:tblPr>
        <w:tblStyle w:val="7"/>
        <w:tblpPr w:leftFromText="180" w:rightFromText="180" w:vertAnchor="text" w:horzAnchor="page" w:tblpXSpec="center" w:tblpY="31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956"/>
        <w:gridCol w:w="6330"/>
        <w:gridCol w:w="485"/>
        <w:gridCol w:w="696"/>
        <w:gridCol w:w="734"/>
        <w:gridCol w:w="870"/>
        <w:gridCol w:w="601"/>
        <w:gridCol w:w="2757"/>
      </w:tblGrid>
      <w:tr w14:paraId="1D8B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tblHeader/>
          <w:jc w:val="center"/>
        </w:trPr>
        <w:tc>
          <w:tcPr>
            <w:tcW w:w="0" w:type="auto"/>
            <w:tcBorders>
              <w:bottom w:val="single" w:color="auto" w:sz="4" w:space="0"/>
              <w:tl2br w:val="nil"/>
              <w:tr2bl w:val="nil"/>
            </w:tcBorders>
            <w:shd w:val="clear" w:color="auto" w:fill="auto"/>
            <w:vAlign w:val="center"/>
          </w:tcPr>
          <w:p w14:paraId="4373443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项目名称</w:t>
            </w:r>
          </w:p>
        </w:tc>
        <w:tc>
          <w:tcPr>
            <w:tcW w:w="0" w:type="auto"/>
            <w:tcBorders>
              <w:bottom w:val="single" w:color="auto" w:sz="4" w:space="0"/>
              <w:tl2br w:val="nil"/>
              <w:tr2bl w:val="nil"/>
            </w:tcBorders>
            <w:shd w:val="clear" w:color="auto" w:fill="auto"/>
            <w:vAlign w:val="center"/>
          </w:tcPr>
          <w:p w14:paraId="79A0750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物资名称</w:t>
            </w:r>
          </w:p>
        </w:tc>
        <w:tc>
          <w:tcPr>
            <w:tcW w:w="0" w:type="auto"/>
            <w:tcBorders>
              <w:tl2br w:val="nil"/>
              <w:tr2bl w:val="nil"/>
            </w:tcBorders>
            <w:shd w:val="clear" w:color="auto" w:fill="auto"/>
            <w:vAlign w:val="center"/>
          </w:tcPr>
          <w:p w14:paraId="71992D2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主要技术要求</w:t>
            </w:r>
          </w:p>
        </w:tc>
        <w:tc>
          <w:tcPr>
            <w:tcW w:w="0" w:type="auto"/>
            <w:tcBorders>
              <w:tl2br w:val="nil"/>
              <w:tr2bl w:val="nil"/>
            </w:tcBorders>
            <w:shd w:val="clear" w:color="auto" w:fill="auto"/>
            <w:vAlign w:val="center"/>
          </w:tcPr>
          <w:p w14:paraId="6A03729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w:t>
            </w:r>
          </w:p>
        </w:tc>
        <w:tc>
          <w:tcPr>
            <w:tcW w:w="0" w:type="auto"/>
            <w:tcBorders>
              <w:tl2br w:val="nil"/>
              <w:tr2bl w:val="nil"/>
            </w:tcBorders>
            <w:shd w:val="clear" w:color="auto" w:fill="auto"/>
            <w:vAlign w:val="center"/>
          </w:tcPr>
          <w:p w14:paraId="4262C9D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0" w:type="auto"/>
            <w:tcBorders>
              <w:tl2br w:val="nil"/>
              <w:tr2bl w:val="nil"/>
            </w:tcBorders>
            <w:shd w:val="clear" w:color="auto" w:fill="auto"/>
            <w:vAlign w:val="center"/>
          </w:tcPr>
          <w:p w14:paraId="274BB6B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color w:val="auto"/>
                <w:sz w:val="24"/>
                <w:szCs w:val="24"/>
                <w:highlight w:val="red"/>
              </w:rPr>
            </w:pPr>
            <w:r>
              <w:rPr>
                <w:rFonts w:hint="eastAsia" w:ascii="宋体" w:hAnsi="宋体" w:eastAsia="宋体" w:cs="宋体"/>
                <w:b/>
                <w:bCs/>
                <w:color w:val="auto"/>
                <w:kern w:val="0"/>
                <w:sz w:val="24"/>
                <w:szCs w:val="24"/>
                <w:highlight w:val="red"/>
                <w:lang w:bidi="ar"/>
              </w:rPr>
              <w:t>交货日期</w:t>
            </w:r>
          </w:p>
        </w:tc>
        <w:tc>
          <w:tcPr>
            <w:tcW w:w="0" w:type="auto"/>
            <w:tcBorders>
              <w:tl2br w:val="nil"/>
              <w:tr2bl w:val="nil"/>
            </w:tcBorders>
            <w:shd w:val="clear" w:color="auto" w:fill="auto"/>
            <w:vAlign w:val="center"/>
          </w:tcPr>
          <w:p w14:paraId="0BAEED1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质保期（不低于）</w:t>
            </w:r>
          </w:p>
        </w:tc>
        <w:tc>
          <w:tcPr>
            <w:tcW w:w="0" w:type="auto"/>
            <w:tcBorders>
              <w:tl2br w:val="nil"/>
              <w:tr2bl w:val="nil"/>
            </w:tcBorders>
            <w:shd w:val="clear" w:color="auto" w:fill="auto"/>
            <w:vAlign w:val="center"/>
          </w:tcPr>
          <w:p w14:paraId="6947479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交货地点</w:t>
            </w:r>
          </w:p>
        </w:tc>
        <w:tc>
          <w:tcPr>
            <w:tcW w:w="0" w:type="auto"/>
            <w:tcBorders>
              <w:tl2br w:val="nil"/>
              <w:tr2bl w:val="nil"/>
            </w:tcBorders>
            <w:shd w:val="clear" w:color="auto" w:fill="auto"/>
            <w:vAlign w:val="center"/>
          </w:tcPr>
          <w:p w14:paraId="384CD93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专用业绩要求</w:t>
            </w:r>
          </w:p>
        </w:tc>
      </w:tr>
      <w:tr w14:paraId="01849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0" w:type="auto"/>
            <w:vMerge w:val="restart"/>
            <w:tcBorders>
              <w:tl2br w:val="nil"/>
              <w:tr2bl w:val="nil"/>
            </w:tcBorders>
            <w:shd w:val="clear" w:color="auto" w:fill="auto"/>
            <w:vAlign w:val="center"/>
          </w:tcPr>
          <w:p w14:paraId="04FF5D64">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4"/>
                <w:szCs w:val="24"/>
                <w:lang w:val="en-US" w:eastAsia="zh-CN"/>
              </w:rPr>
            </w:pPr>
            <w:bookmarkStart w:id="0" w:name="OLE_LINK17" w:colFirst="2" w:colLast="2"/>
            <w:bookmarkStart w:id="1" w:name="OLE_LINK16" w:colFirst="1" w:colLast="1"/>
            <w:bookmarkStart w:id="2" w:name="OLE_LINK7" w:colFirst="1" w:colLast="2"/>
            <w:r>
              <w:rPr>
                <w:rFonts w:hint="eastAsia" w:ascii="宋体" w:hAnsi="宋体" w:eastAsia="宋体" w:cs="宋体"/>
                <w:color w:val="auto"/>
                <w:sz w:val="24"/>
                <w:szCs w:val="24"/>
                <w:lang w:val="en-US" w:eastAsia="zh-CN"/>
              </w:rPr>
              <w:t>节点控制模块等采购项目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4308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节点电源模块</w:t>
            </w:r>
          </w:p>
        </w:tc>
        <w:tc>
          <w:tcPr>
            <w:tcW w:w="0" w:type="auto"/>
            <w:tcBorders>
              <w:tl2br w:val="nil"/>
              <w:tr2bl w:val="nil"/>
            </w:tcBorders>
            <w:shd w:val="clear" w:color="auto" w:fill="auto"/>
            <w:vAlign w:val="center"/>
          </w:tcPr>
          <w:p w14:paraId="47FFC37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输入电压范围：85-305VAC/100-430VDC；输出DC12V ≥8.5A、效率≥90%；工作温度范围：-40℃~+85℃；4000VAC高隔离电压、输出短路、过流、过压保护、满足5000m海拔应用；尺寸≤100mm×100mm×30mm。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60A1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53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15</w:t>
            </w:r>
          </w:p>
        </w:tc>
        <w:tc>
          <w:tcPr>
            <w:tcW w:w="0" w:type="auto"/>
            <w:tcBorders>
              <w:tl2br w:val="nil"/>
              <w:tr2bl w:val="nil"/>
            </w:tcBorders>
            <w:shd w:val="clear" w:color="auto" w:fill="auto"/>
            <w:vAlign w:val="center"/>
          </w:tcPr>
          <w:p w14:paraId="292571E3">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0848D27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7B97021F">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restart"/>
            <w:tcBorders>
              <w:tl2br w:val="nil"/>
              <w:tr2bl w:val="nil"/>
            </w:tcBorders>
            <w:shd w:val="clear" w:color="auto" w:fill="auto"/>
            <w:vAlign w:val="center"/>
          </w:tcPr>
          <w:p w14:paraId="7DDEE149">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业绩要求：</w:t>
            </w:r>
            <w:r>
              <w:rPr>
                <w:rFonts w:hint="eastAsia" w:ascii="宋体" w:hAnsi="宋体" w:eastAsia="宋体" w:cs="宋体"/>
                <w:b w:val="0"/>
                <w:bCs w:val="0"/>
                <w:i w:val="0"/>
                <w:iCs w:val="0"/>
                <w:snapToGrid w:val="0"/>
                <w:color w:val="auto"/>
                <w:kern w:val="0"/>
                <w:sz w:val="24"/>
                <w:szCs w:val="24"/>
                <w:highlight w:val="none"/>
                <w:lang w:val="en-US" w:eastAsia="zh-CN" w:bidi="ar-SA"/>
              </w:rPr>
              <w:t>2022年1月1日至投标截止日内，完成电子元器件业绩不少于1份，累计金额不低于30万元。注:业绩必须提供对应的合同复印件、发票和相应查验截图。</w:t>
            </w:r>
          </w:p>
        </w:tc>
      </w:tr>
      <w:tr w14:paraId="54252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0" w:type="auto"/>
            <w:vMerge w:val="continue"/>
            <w:tcBorders>
              <w:tl2br w:val="nil"/>
              <w:tr2bl w:val="nil"/>
            </w:tcBorders>
            <w:shd w:val="clear" w:color="auto" w:fill="auto"/>
            <w:vAlign w:val="center"/>
          </w:tcPr>
          <w:p w14:paraId="03D9D5E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b w:val="0"/>
                <w:bCs w:val="0"/>
                <w:i w:val="0"/>
                <w:iCs w:val="0"/>
                <w:snapToGrid w:val="0"/>
                <w:color w:val="auto"/>
                <w:kern w:val="0"/>
                <w:sz w:val="24"/>
                <w:szCs w:val="24"/>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C1BA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节点控制模块</w:t>
            </w:r>
          </w:p>
        </w:tc>
        <w:tc>
          <w:tcPr>
            <w:tcW w:w="0" w:type="auto"/>
            <w:tcBorders>
              <w:tl2br w:val="nil"/>
              <w:tr2bl w:val="nil"/>
            </w:tcBorders>
            <w:shd w:val="clear" w:color="auto" w:fill="auto"/>
            <w:vAlign w:val="center"/>
          </w:tcPr>
          <w:p w14:paraId="313DE03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源DC9-36V输入；主频≥168MHz内存≥192Kbytes；ADC采样≥1路；精度≥12bit；开入≥2路；开出额定负载≥2A；≥2路、具备1路RJ45网口、2路RS232接口、1路RS-485接口、具备不低于2路供电电压≤36V直流电机调速控制功能、驱动能力≥3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8895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03A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15</w:t>
            </w:r>
          </w:p>
        </w:tc>
        <w:tc>
          <w:tcPr>
            <w:tcW w:w="0" w:type="auto"/>
            <w:tcBorders>
              <w:tl2br w:val="nil"/>
              <w:tr2bl w:val="nil"/>
            </w:tcBorders>
            <w:shd w:val="clear" w:color="auto" w:fill="auto"/>
            <w:vAlign w:val="center"/>
          </w:tcPr>
          <w:p w14:paraId="0794223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4E4CACD0">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494EF68E">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2B45E7E9">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3317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0" w:type="auto"/>
            <w:vMerge w:val="continue"/>
            <w:tcBorders>
              <w:tl2br w:val="nil"/>
              <w:tr2bl w:val="nil"/>
            </w:tcBorders>
            <w:shd w:val="clear" w:color="auto" w:fill="auto"/>
            <w:vAlign w:val="center"/>
          </w:tcPr>
          <w:p w14:paraId="7E0B6BA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550A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RFID感知天线</w:t>
            </w:r>
          </w:p>
        </w:tc>
        <w:tc>
          <w:tcPr>
            <w:tcW w:w="0" w:type="auto"/>
            <w:tcBorders>
              <w:tl2br w:val="nil"/>
              <w:tr2bl w:val="nil"/>
            </w:tcBorders>
            <w:shd w:val="clear" w:color="auto" w:fill="auto"/>
            <w:vAlign w:val="center"/>
          </w:tcPr>
          <w:p w14:paraId="3DCCBC4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物联感知终端RFID天线。频率范围 860-940MHz；增益9dBi；最大功率不大于50W；工作温度-40～55℃；馈线接口直出端子N母头。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89A5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C07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48</w:t>
            </w:r>
          </w:p>
        </w:tc>
        <w:tc>
          <w:tcPr>
            <w:tcW w:w="0" w:type="auto"/>
            <w:tcBorders>
              <w:tl2br w:val="nil"/>
              <w:tr2bl w:val="nil"/>
            </w:tcBorders>
            <w:shd w:val="clear" w:color="auto" w:fill="auto"/>
            <w:vAlign w:val="center"/>
          </w:tcPr>
          <w:p w14:paraId="6308A0F9">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6F63BB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0A0D06E3">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37F1FA46">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15D8A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0" w:type="auto"/>
            <w:vMerge w:val="continue"/>
            <w:tcBorders>
              <w:tl2br w:val="nil"/>
              <w:tr2bl w:val="nil"/>
            </w:tcBorders>
            <w:shd w:val="clear" w:color="auto" w:fill="auto"/>
            <w:vAlign w:val="center"/>
          </w:tcPr>
          <w:p w14:paraId="6E4AB0A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3B1B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终端控制箱组件</w:t>
            </w:r>
          </w:p>
        </w:tc>
        <w:tc>
          <w:tcPr>
            <w:tcW w:w="0" w:type="auto"/>
            <w:tcBorders>
              <w:tl2br w:val="nil"/>
              <w:tr2bl w:val="nil"/>
            </w:tcBorders>
            <w:shd w:val="clear" w:color="auto" w:fill="auto"/>
            <w:vAlign w:val="center"/>
          </w:tcPr>
          <w:p w14:paraId="0E367B6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外壳不锈钢材质，尺寸＜400×200×180mm（长×宽×厚），预留出线孔不小于5个，装配高度1.5米左右。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85DA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791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15</w:t>
            </w:r>
          </w:p>
        </w:tc>
        <w:tc>
          <w:tcPr>
            <w:tcW w:w="0" w:type="auto"/>
            <w:tcBorders>
              <w:tl2br w:val="nil"/>
              <w:tr2bl w:val="nil"/>
            </w:tcBorders>
            <w:shd w:val="clear" w:color="auto" w:fill="auto"/>
            <w:vAlign w:val="center"/>
          </w:tcPr>
          <w:p w14:paraId="31A191AD">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44BD1F02">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1F852E7B">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17FE689E">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6DAC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0" w:type="auto"/>
            <w:vMerge w:val="continue"/>
            <w:tcBorders>
              <w:tl2br w:val="nil"/>
              <w:tr2bl w:val="nil"/>
            </w:tcBorders>
            <w:shd w:val="clear" w:color="auto" w:fill="auto"/>
            <w:vAlign w:val="center"/>
          </w:tcPr>
          <w:p w14:paraId="0D8A43AE">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CFC3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全向盘点模组</w:t>
            </w:r>
          </w:p>
        </w:tc>
        <w:tc>
          <w:tcPr>
            <w:tcW w:w="0" w:type="auto"/>
            <w:tcBorders>
              <w:tl2br w:val="nil"/>
              <w:tr2bl w:val="nil"/>
            </w:tcBorders>
            <w:shd w:val="clear" w:color="auto" w:fill="auto"/>
            <w:vAlign w:val="center"/>
          </w:tcPr>
          <w:p w14:paraId="1ECD2E2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水平旋转范围±10°俯仰角度调节范围25°-85°，水平旋转速度，最快可≥10°/s可调，高度4.5米。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6FA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98C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w:t>
            </w:r>
          </w:p>
        </w:tc>
        <w:tc>
          <w:tcPr>
            <w:tcW w:w="0" w:type="auto"/>
            <w:tcBorders>
              <w:tl2br w:val="nil"/>
              <w:tr2bl w:val="nil"/>
            </w:tcBorders>
            <w:shd w:val="clear" w:color="auto" w:fill="auto"/>
            <w:vAlign w:val="center"/>
          </w:tcPr>
          <w:p w14:paraId="3FA89781">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1473DFF6">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68F9689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7B77B733">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3A49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0" w:type="auto"/>
            <w:vMerge w:val="continue"/>
            <w:tcBorders>
              <w:tl2br w:val="nil"/>
              <w:tr2bl w:val="nil"/>
            </w:tcBorders>
            <w:shd w:val="clear" w:color="auto" w:fill="auto"/>
            <w:vAlign w:val="center"/>
          </w:tcPr>
          <w:p w14:paraId="06D3F848">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19EE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RFID射频模组</w:t>
            </w:r>
          </w:p>
        </w:tc>
        <w:tc>
          <w:tcPr>
            <w:tcW w:w="0" w:type="auto"/>
            <w:tcBorders>
              <w:tl2br w:val="nil"/>
              <w:tr2bl w:val="nil"/>
            </w:tcBorders>
            <w:shd w:val="clear" w:color="auto" w:fill="auto"/>
            <w:vAlign w:val="center"/>
          </w:tcPr>
          <w:p w14:paraId="0D28FF8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读写器端口数量4口。高度4.5米；输出功率 5-33dBm，接收灵敏度 -88dBm，盘存标签峰值速度 900 tag/s，供电电压 5V；工作温度-20~+50℃。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B52B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023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12</w:t>
            </w:r>
          </w:p>
        </w:tc>
        <w:tc>
          <w:tcPr>
            <w:tcW w:w="0" w:type="auto"/>
            <w:tcBorders>
              <w:tl2br w:val="nil"/>
              <w:tr2bl w:val="nil"/>
            </w:tcBorders>
            <w:shd w:val="clear" w:color="auto" w:fill="auto"/>
            <w:vAlign w:val="center"/>
          </w:tcPr>
          <w:p w14:paraId="34DD024F">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582BD122">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74A85960">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505BC0E4">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37EB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0" w:type="auto"/>
            <w:vMerge w:val="continue"/>
            <w:tcBorders>
              <w:tl2br w:val="nil"/>
              <w:tr2bl w:val="nil"/>
            </w:tcBorders>
            <w:shd w:val="clear" w:color="auto" w:fill="auto"/>
            <w:vAlign w:val="center"/>
          </w:tcPr>
          <w:p w14:paraId="72D19E4D">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4C2F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RFID射频模组</w:t>
            </w:r>
          </w:p>
        </w:tc>
        <w:tc>
          <w:tcPr>
            <w:tcW w:w="0" w:type="auto"/>
            <w:tcBorders>
              <w:tl2br w:val="nil"/>
              <w:tr2bl w:val="nil"/>
            </w:tcBorders>
            <w:shd w:val="clear" w:color="auto" w:fill="auto"/>
            <w:vAlign w:val="center"/>
          </w:tcPr>
          <w:p w14:paraId="1385901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读写器端口数量8口。高度4.5米；输出功率 5-33dBm，接收灵敏度 -88dBm，盘存标签峰值速度 900 tag/s，供电电压 5V；工作温度-20~+50℃。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84EB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692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w:t>
            </w:r>
          </w:p>
        </w:tc>
        <w:tc>
          <w:tcPr>
            <w:tcW w:w="0" w:type="auto"/>
            <w:tcBorders>
              <w:tl2br w:val="nil"/>
              <w:tr2bl w:val="nil"/>
            </w:tcBorders>
            <w:shd w:val="clear" w:color="auto" w:fill="auto"/>
            <w:vAlign w:val="center"/>
          </w:tcPr>
          <w:p w14:paraId="1B45EE06">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55983250">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440AD239">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58D78A2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4C1EF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0" w:type="auto"/>
            <w:vMerge w:val="continue"/>
            <w:tcBorders>
              <w:tl2br w:val="nil"/>
              <w:tr2bl w:val="nil"/>
            </w:tcBorders>
            <w:shd w:val="clear" w:color="auto" w:fill="auto"/>
            <w:vAlign w:val="center"/>
          </w:tcPr>
          <w:p w14:paraId="1135D0FA">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DA6A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感知终端馈线</w:t>
            </w:r>
          </w:p>
        </w:tc>
        <w:tc>
          <w:tcPr>
            <w:tcW w:w="0" w:type="auto"/>
            <w:tcBorders>
              <w:tl2br w:val="nil"/>
              <w:tr2bl w:val="nil"/>
            </w:tcBorders>
            <w:shd w:val="clear" w:color="auto" w:fill="auto"/>
            <w:vAlign w:val="center"/>
          </w:tcPr>
          <w:p w14:paraId="1CFD4C1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频率范围 860-940MHz，增益9dBi，最大功率 50W；工作温度 -40～55℃，单根长度最长不超15米。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765B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758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550</w:t>
            </w:r>
          </w:p>
        </w:tc>
        <w:tc>
          <w:tcPr>
            <w:tcW w:w="0" w:type="auto"/>
            <w:tcBorders>
              <w:tl2br w:val="nil"/>
              <w:tr2bl w:val="nil"/>
            </w:tcBorders>
            <w:shd w:val="clear" w:color="auto" w:fill="auto"/>
            <w:vAlign w:val="center"/>
          </w:tcPr>
          <w:p w14:paraId="5778818B">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B64373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7B5D7FD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769A144F">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594F5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0" w:type="auto"/>
            <w:vMerge w:val="continue"/>
            <w:tcBorders>
              <w:tl2br w:val="nil"/>
              <w:tr2bl w:val="nil"/>
            </w:tcBorders>
            <w:shd w:val="clear" w:color="auto" w:fill="auto"/>
            <w:vAlign w:val="center"/>
          </w:tcPr>
          <w:p w14:paraId="5980F7DF">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67FA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万向支架</w:t>
            </w:r>
          </w:p>
        </w:tc>
        <w:tc>
          <w:tcPr>
            <w:tcW w:w="0" w:type="auto"/>
            <w:tcBorders>
              <w:tl2br w:val="nil"/>
              <w:tr2bl w:val="nil"/>
            </w:tcBorders>
            <w:shd w:val="clear" w:color="auto" w:fill="auto"/>
            <w:vAlign w:val="center"/>
          </w:tcPr>
          <w:p w14:paraId="7344840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万向支架尺寸≥162.5×97×171mm，净重＜0.5kg，表面喷砂，全向调角方式。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B7F2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0C0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30 </w:t>
            </w:r>
          </w:p>
        </w:tc>
        <w:tc>
          <w:tcPr>
            <w:tcW w:w="0" w:type="auto"/>
            <w:tcBorders>
              <w:tl2br w:val="nil"/>
              <w:tr2bl w:val="nil"/>
            </w:tcBorders>
            <w:shd w:val="clear" w:color="auto" w:fill="auto"/>
            <w:vAlign w:val="center"/>
          </w:tcPr>
          <w:p w14:paraId="64851124">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522FB30F">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50CF521E">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50B5840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557A3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Borders>
              <w:tl2br w:val="nil"/>
              <w:tr2bl w:val="nil"/>
            </w:tcBorders>
            <w:shd w:val="clear" w:color="auto" w:fill="auto"/>
            <w:vAlign w:val="center"/>
          </w:tcPr>
          <w:p w14:paraId="15085F74">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293C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四向车盘点模组</w:t>
            </w:r>
          </w:p>
        </w:tc>
        <w:tc>
          <w:tcPr>
            <w:tcW w:w="0" w:type="auto"/>
            <w:tcBorders>
              <w:tl2br w:val="nil"/>
              <w:tr2bl w:val="nil"/>
            </w:tcBorders>
            <w:shd w:val="clear" w:color="auto" w:fill="auto"/>
            <w:vAlign w:val="center"/>
          </w:tcPr>
          <w:p w14:paraId="6347397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天线数量4件，天线功率超高频9dBi；电池充电方式：接触式自动充电，AC220V；整机功率＜20w；无线通讯，适用安全加密模块；底盘尺寸适合1200×1000mm；支持协议EPC C1G2/ISO18000-6C；防护等级IP5X。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3579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F70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0" w:type="auto"/>
            <w:tcBorders>
              <w:tl2br w:val="nil"/>
              <w:tr2bl w:val="nil"/>
            </w:tcBorders>
            <w:shd w:val="clear" w:color="auto" w:fill="auto"/>
            <w:vAlign w:val="center"/>
          </w:tcPr>
          <w:p w14:paraId="3D02598B">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49F369F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2D62D231">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295CAD6B">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4B40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Borders>
              <w:tl2br w:val="nil"/>
              <w:tr2bl w:val="nil"/>
            </w:tcBorders>
            <w:shd w:val="clear" w:color="auto" w:fill="auto"/>
            <w:vAlign w:val="center"/>
          </w:tcPr>
          <w:p w14:paraId="27D04372">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AFD8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安全加密模块</w:t>
            </w:r>
          </w:p>
        </w:tc>
        <w:tc>
          <w:tcPr>
            <w:tcW w:w="0" w:type="auto"/>
            <w:tcBorders>
              <w:tl2br w:val="nil"/>
              <w:tr2bl w:val="nil"/>
            </w:tcBorders>
            <w:shd w:val="clear" w:color="auto" w:fill="auto"/>
            <w:vAlign w:val="center"/>
          </w:tcPr>
          <w:p w14:paraId="2FEF5AE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加密吞吐≥15Nbps延时≤100ms，标配接口2个10/100自适应以太网电口，输入电压AC12V 50Hz，LN-PCIP-SecM-01。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18A6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B16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0" w:type="auto"/>
            <w:tcBorders>
              <w:tl2br w:val="nil"/>
              <w:tr2bl w:val="nil"/>
            </w:tcBorders>
            <w:shd w:val="clear" w:color="auto" w:fill="auto"/>
            <w:vAlign w:val="center"/>
          </w:tcPr>
          <w:p w14:paraId="4A0DFD4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75946EAD">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6EE06C9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265BFBD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73BAA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Borders>
              <w:tl2br w:val="nil"/>
              <w:tr2bl w:val="nil"/>
            </w:tcBorders>
            <w:shd w:val="clear" w:color="auto" w:fill="auto"/>
            <w:vAlign w:val="center"/>
          </w:tcPr>
          <w:p w14:paraId="2721528B">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FD8B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终端电缆</w:t>
            </w:r>
          </w:p>
        </w:tc>
        <w:tc>
          <w:tcPr>
            <w:tcW w:w="0" w:type="auto"/>
            <w:tcBorders>
              <w:tl2br w:val="nil"/>
              <w:tr2bl w:val="nil"/>
            </w:tcBorders>
            <w:shd w:val="clear" w:color="auto" w:fill="auto"/>
            <w:vAlign w:val="center"/>
          </w:tcPr>
          <w:p w14:paraId="146FBE5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RVV5×1.0,阻燃，多芯无氧纯铜，外径≤10mm；满足GB/T 5023.5-2023要求，采用国内一流品牌。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0C1FD">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B51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270 </w:t>
            </w:r>
          </w:p>
        </w:tc>
        <w:tc>
          <w:tcPr>
            <w:tcW w:w="0" w:type="auto"/>
            <w:tcBorders>
              <w:tl2br w:val="nil"/>
              <w:tr2bl w:val="nil"/>
            </w:tcBorders>
            <w:shd w:val="clear" w:color="auto" w:fill="auto"/>
            <w:vAlign w:val="center"/>
          </w:tcPr>
          <w:p w14:paraId="68A547C6">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110D1B6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tcBorders>
              <w:tl2br w:val="nil"/>
              <w:tr2bl w:val="nil"/>
            </w:tcBorders>
            <w:shd w:val="clear" w:color="auto" w:fill="auto"/>
            <w:vAlign w:val="center"/>
          </w:tcPr>
          <w:p w14:paraId="4DA0144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tcBorders>
              <w:tl2br w:val="nil"/>
              <w:tr2bl w:val="nil"/>
            </w:tcBorders>
            <w:shd w:val="clear" w:color="auto" w:fill="auto"/>
            <w:vAlign w:val="center"/>
          </w:tcPr>
          <w:p w14:paraId="00874EB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bookmarkEnd w:id="0"/>
      <w:bookmarkEnd w:id="1"/>
      <w:bookmarkEnd w:id="2"/>
      <w:tr w14:paraId="21F39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17BA81B0">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2D9E712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节点控制箱组件</w:t>
            </w:r>
          </w:p>
        </w:tc>
        <w:tc>
          <w:tcPr>
            <w:tcW w:w="0" w:type="auto"/>
            <w:vAlign w:val="center"/>
          </w:tcPr>
          <w:p w14:paraId="1DE7DA8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尺寸≤400×500×170mm（宽×高×厚），箱体材质不锈钢；防水箱含固定件；</w:t>
            </w:r>
            <w:bookmarkStart w:id="3" w:name="OLE_LINK2"/>
            <w:r>
              <w:rPr>
                <w:rFonts w:hint="eastAsia" w:ascii="宋体" w:hAnsi="宋体" w:eastAsia="宋体" w:cs="宋体"/>
                <w:color w:val="auto"/>
                <w:kern w:val="0"/>
                <w:sz w:val="24"/>
                <w:szCs w:val="24"/>
                <w:lang w:val="en-US" w:eastAsia="zh-CN" w:bidi="ar"/>
              </w:rPr>
              <w:t>断路器10A 2P断路器C特性脱扣功能，五孔开关插座额定电流不小于10A；出线孔径25mm不少于4个</w:t>
            </w:r>
            <w:bookmarkEnd w:id="3"/>
            <w:r>
              <w:rPr>
                <w:rFonts w:hint="eastAsia" w:ascii="宋体" w:hAnsi="宋体" w:eastAsia="宋体" w:cs="宋体"/>
                <w:color w:val="auto"/>
                <w:kern w:val="0"/>
                <w:sz w:val="24"/>
                <w:szCs w:val="24"/>
                <w:lang w:val="en-US" w:eastAsia="zh-CN" w:bidi="ar"/>
              </w:rPr>
              <w:t>。</w:t>
            </w:r>
          </w:p>
        </w:tc>
        <w:tc>
          <w:tcPr>
            <w:tcW w:w="0" w:type="auto"/>
            <w:vAlign w:val="center"/>
          </w:tcPr>
          <w:p w14:paraId="6317D7F3">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31FCAA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c>
          <w:tcPr>
            <w:tcW w:w="0" w:type="auto"/>
            <w:vAlign w:val="center"/>
          </w:tcPr>
          <w:p w14:paraId="444E8C40">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750A911D">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38F36B12">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2E222F9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5076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404A220F">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6FBF45D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交换机</w:t>
            </w:r>
          </w:p>
        </w:tc>
        <w:tc>
          <w:tcPr>
            <w:tcW w:w="0" w:type="auto"/>
            <w:vAlign w:val="center"/>
          </w:tcPr>
          <w:p w14:paraId="620AE8F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2个千兆Hi-PoE电口，6个千兆PoE电口，1个千兆电口，1个千兆光口；端口最大供电功率：Hi-PoE端口 90W，PoE端口 30W；整机最大供电功率：230W；Hi-PoE口支持IEEE 802.3at/af/bt，PoE口支持IEEE 802.3at/af；供电方式AC220V。</w:t>
            </w:r>
          </w:p>
        </w:tc>
        <w:tc>
          <w:tcPr>
            <w:tcW w:w="0" w:type="auto"/>
            <w:vAlign w:val="center"/>
          </w:tcPr>
          <w:p w14:paraId="421FE9E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1333A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0" w:type="auto"/>
            <w:vAlign w:val="center"/>
          </w:tcPr>
          <w:p w14:paraId="2CD87786">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575C8FB4">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6CB51581">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26F5996D">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137F9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746891F5">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1DBA64E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网线</w:t>
            </w:r>
          </w:p>
        </w:tc>
        <w:tc>
          <w:tcPr>
            <w:tcW w:w="0" w:type="auto"/>
            <w:vAlign w:val="center"/>
          </w:tcPr>
          <w:p w14:paraId="29E55F4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POE供电专用网线，CAT6屏蔽纯铜网线，屏蔽等级不低于F/UTP，每箱长度305米。</w:t>
            </w:r>
          </w:p>
        </w:tc>
        <w:tc>
          <w:tcPr>
            <w:tcW w:w="0" w:type="auto"/>
            <w:vAlign w:val="center"/>
          </w:tcPr>
          <w:p w14:paraId="6076C68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米</w:t>
            </w:r>
          </w:p>
        </w:tc>
        <w:tc>
          <w:tcPr>
            <w:tcW w:w="0" w:type="auto"/>
            <w:vAlign w:val="center"/>
          </w:tcPr>
          <w:p w14:paraId="114762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1200 </w:t>
            </w:r>
          </w:p>
        </w:tc>
        <w:tc>
          <w:tcPr>
            <w:tcW w:w="0" w:type="auto"/>
            <w:vAlign w:val="center"/>
          </w:tcPr>
          <w:p w14:paraId="709740A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5B95FA9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0489AF72">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55D3FA13">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5D74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677D8DD8">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1438293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过线防护组件</w:t>
            </w:r>
          </w:p>
        </w:tc>
        <w:tc>
          <w:tcPr>
            <w:tcW w:w="0" w:type="auto"/>
            <w:vAlign w:val="center"/>
          </w:tcPr>
          <w:p w14:paraId="635153C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过线折弯部分折弯90度，内径不小于25mm，材质金属镀锌；过线直线管径内宽不小于35×35mm；结合紧密，卡箍和螺栓紧固功能;天线紧固件表面处理白色镀锌，扎带材料白色尼龙，卡箍材质不锈钢等。</w:t>
            </w:r>
          </w:p>
        </w:tc>
        <w:tc>
          <w:tcPr>
            <w:tcW w:w="0" w:type="auto"/>
            <w:vAlign w:val="center"/>
          </w:tcPr>
          <w:p w14:paraId="32A1D08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米</w:t>
            </w:r>
          </w:p>
        </w:tc>
        <w:tc>
          <w:tcPr>
            <w:tcW w:w="0" w:type="auto"/>
            <w:vAlign w:val="center"/>
          </w:tcPr>
          <w:p w14:paraId="6C4312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400 </w:t>
            </w:r>
          </w:p>
        </w:tc>
        <w:tc>
          <w:tcPr>
            <w:tcW w:w="0" w:type="auto"/>
            <w:vAlign w:val="center"/>
          </w:tcPr>
          <w:p w14:paraId="2247733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530DEFE1">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3FC4B83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492645F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0065E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76F3C9F4">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5D4E7E7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智慧节点系统</w:t>
            </w:r>
          </w:p>
        </w:tc>
        <w:tc>
          <w:tcPr>
            <w:tcW w:w="0" w:type="auto"/>
            <w:vAlign w:val="center"/>
          </w:tcPr>
          <w:p w14:paraId="1FD0E3D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智慧节点调度系统包括调度设备与智慧盘点平台：（1）涵盖核心业务与设备对接功能，设备管理贯穿设备全生命周期并监测状态、预判故障。（2）盘点管理支持自定义计划与多元模式且能自动核对数据生成差异报告，支持对接通过标准化接口实现与上层系统的数据交互。（3）设备调度可智能分配并支持手动调整以提升利用率，数据统计依多维度生成可视化报表辅助决策，系统设置负责权限分配、参数配置与日志管理。（4）设备对接方面，系统兼容多个读写设备，能准确采集多种标签信息，实时处理传输标签数据且异常时自动缓存补发，实时采集设备运行状态并预警异常，还可安全可靠地实现设备软件与固件远程升级，全方位保障盘点业务高效、精准运行。</w:t>
            </w:r>
          </w:p>
        </w:tc>
        <w:tc>
          <w:tcPr>
            <w:tcW w:w="0" w:type="auto"/>
            <w:vAlign w:val="center"/>
          </w:tcPr>
          <w:p w14:paraId="4275733C">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6EFF34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0" w:type="auto"/>
            <w:vAlign w:val="center"/>
          </w:tcPr>
          <w:p w14:paraId="04072FF4">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3ED0E74E">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2250EA9D">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2C3815E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20F2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59589688">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6CD82D1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无线倾角传感器</w:t>
            </w:r>
          </w:p>
        </w:tc>
        <w:tc>
          <w:tcPr>
            <w:tcW w:w="0" w:type="auto"/>
            <w:vAlign w:val="center"/>
          </w:tcPr>
          <w:p w14:paraId="58DBE56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测量精度：0~5°@±0.005°；5~10°@±0.01°；10~15°@±0.02°；15~30°@±0.05°；分辨率 0.0025°；防水等级 IP68；工作温度 温度-20℃-+55℃，高度5.4米和12米。</w:t>
            </w:r>
          </w:p>
        </w:tc>
        <w:tc>
          <w:tcPr>
            <w:tcW w:w="0" w:type="auto"/>
            <w:vAlign w:val="center"/>
          </w:tcPr>
          <w:p w14:paraId="7526F484">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4D3270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c>
          <w:tcPr>
            <w:tcW w:w="0" w:type="auto"/>
            <w:vAlign w:val="center"/>
          </w:tcPr>
          <w:p w14:paraId="10F8A29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5FF2F4C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1E923C1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313EB190">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2D00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54A64768">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4495871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水浸传感器</w:t>
            </w:r>
          </w:p>
        </w:tc>
        <w:tc>
          <w:tcPr>
            <w:tcW w:w="0" w:type="auto"/>
            <w:vAlign w:val="center"/>
          </w:tcPr>
          <w:p w14:paraId="3575995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工作电压：DC12 - 24V；报警电流：≤200mA；静态电流：≤30mA；探测方式：水感探头；探测灵敏度：≤500kΩ；声压分贝：≥85dB；工作温度：-10 - +55℃。</w:t>
            </w:r>
          </w:p>
        </w:tc>
        <w:tc>
          <w:tcPr>
            <w:tcW w:w="0" w:type="auto"/>
            <w:vAlign w:val="center"/>
          </w:tcPr>
          <w:p w14:paraId="73D7069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0A353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c>
          <w:tcPr>
            <w:tcW w:w="0" w:type="auto"/>
            <w:vAlign w:val="center"/>
          </w:tcPr>
          <w:p w14:paraId="141194F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0B2E1B1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6537BDF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18D4F30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63C3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477BC886">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0E37F12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网关</w:t>
            </w:r>
          </w:p>
        </w:tc>
        <w:tc>
          <w:tcPr>
            <w:tcW w:w="0" w:type="auto"/>
            <w:vAlign w:val="center"/>
          </w:tcPr>
          <w:p w14:paraId="27034017">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发射功率：GSM850/EGSM900：33dBm±2dB；DCS1800/PCS1900：30dBm±2dB；CDMA：24dBm + 6/-1dB；WCDMA：24dBm + 1/-3dB；TD - SCDMA：24dBm + 1/-3dB；LTE FDD：23dBm±2dB；LTE TDD：23dBm±2dB；电源范围 DC 6V-35V，2A以上；工作温度-40~+85℃。</w:t>
            </w:r>
          </w:p>
        </w:tc>
        <w:tc>
          <w:tcPr>
            <w:tcW w:w="0" w:type="auto"/>
            <w:vAlign w:val="center"/>
          </w:tcPr>
          <w:p w14:paraId="6642D3B2">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00FBE2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c>
          <w:tcPr>
            <w:tcW w:w="0" w:type="auto"/>
            <w:vAlign w:val="center"/>
          </w:tcPr>
          <w:p w14:paraId="0F10CDF1">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404A899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7E13490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5CBD848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3A81E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3FA7644B">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13724A41">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声光报警器</w:t>
            </w:r>
          </w:p>
        </w:tc>
        <w:tc>
          <w:tcPr>
            <w:tcW w:w="0" w:type="auto"/>
            <w:vAlign w:val="center"/>
          </w:tcPr>
          <w:p w14:paraId="5B8A6B8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音量100dB；供电电压 12V；工作温度-20 ~ +60℃。</w:t>
            </w:r>
          </w:p>
        </w:tc>
        <w:tc>
          <w:tcPr>
            <w:tcW w:w="0" w:type="auto"/>
            <w:vAlign w:val="center"/>
          </w:tcPr>
          <w:p w14:paraId="393395C9">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6392C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c>
          <w:tcPr>
            <w:tcW w:w="0" w:type="auto"/>
            <w:vAlign w:val="center"/>
          </w:tcPr>
          <w:p w14:paraId="48E03C61">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4EA21FD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5B694C2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5079BE9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1ED68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53CB5D00">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111BFED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智慧物联平台控制盒系统</w:t>
            </w:r>
          </w:p>
        </w:tc>
        <w:tc>
          <w:tcPr>
            <w:tcW w:w="0" w:type="auto"/>
            <w:vAlign w:val="center"/>
          </w:tcPr>
          <w:p w14:paraId="3F8C7C6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智慧物联平台控制盒集成控制盒设备与智慧物联平台，能稳定接入倾角、水浸传感器及声光报警器等设备，实现快速入网与数据交互，实时采集设备数据并触发对应响应机制。同时，该控制盒提供标准化、高安全对外接口，运用 RESTful API 等技术，可与第三方系统无缝对接，完成数据双向交互与共享。</w:t>
            </w:r>
          </w:p>
        </w:tc>
        <w:tc>
          <w:tcPr>
            <w:tcW w:w="0" w:type="auto"/>
            <w:vAlign w:val="center"/>
          </w:tcPr>
          <w:p w14:paraId="3A3DDCB0">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64DE3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0" w:type="auto"/>
            <w:vAlign w:val="center"/>
          </w:tcPr>
          <w:p w14:paraId="112CDFC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19DA2C40">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3013F8E2">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492A4419">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426B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68F6DC71">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60EF984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无人机和机巢模块</w:t>
            </w:r>
          </w:p>
        </w:tc>
        <w:tc>
          <w:tcPr>
            <w:tcW w:w="0" w:type="auto"/>
            <w:vAlign w:val="center"/>
          </w:tcPr>
          <w:p w14:paraId="5702035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（1）裸机重量≤1500克，最大起飞重量≥1500克，支持六向避障，最大上升速度：6 米/秒（普通挡）；8 米/秒（运动挡）；最大下降速度：6 米/秒（普通挡）；6 米/秒（运动挡）；最大抗风速度：作业阶段抗风能力：12 米/秒；起降阶段抗风能力：8 米/秒；最长飞行时间：≥40分钟；最大作业半径：≥10公里；工作环境温度：-20℃ 至 45℃；防护等级不低于IP54；支持可见光、红外光拍照、录像；可见光分辨率≥1920 × 1080。（2）存储空间应具备 1 架小型无人机的存储空间；输入电压：100 伏至 240 伏（交流电），50/60 Hz；工作环境温度：-25°C 至 45°C；防护等级不低于IP55；最大允许降落风速：8 米/秒；内置无线充电，支持自动充电。输出电压直流28V；电量从 20% 充至 90% 时充电时间≤40分钟；支持防雷；交流电接口：20 千安防护（额定值），满足 EN 61643-11 的 Type 2 和 IEC 61643-1 的 Class Ⅱ 保护等级。（3）支架固定牢靠，表面防腐处理。</w:t>
            </w:r>
          </w:p>
        </w:tc>
        <w:tc>
          <w:tcPr>
            <w:tcW w:w="0" w:type="auto"/>
            <w:vAlign w:val="center"/>
          </w:tcPr>
          <w:p w14:paraId="2919FA76">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4E9018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0" w:type="auto"/>
            <w:vAlign w:val="center"/>
          </w:tcPr>
          <w:p w14:paraId="3B16E96A">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6495512F">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459809AC">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545ACCC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5DC60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33ADF7B1">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7369160B">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智觉视控盘点模组</w:t>
            </w:r>
          </w:p>
        </w:tc>
        <w:tc>
          <w:tcPr>
            <w:tcW w:w="0" w:type="auto"/>
            <w:vAlign w:val="center"/>
          </w:tcPr>
          <w:p w14:paraId="29CB9B9E">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边缘计算盒硬件设备配备多种数据采集接口，可快速连接各类传感器。内置高性能计算芯片，拥有强大的边缘计算能力，能够在本地对采集到的大量物料数据进行快速运算和初步处理；2.视控盘点算法数据采集与预处理、特征提取与识别、数量统计与盘点、动态监测与更新。</w:t>
            </w:r>
          </w:p>
        </w:tc>
        <w:tc>
          <w:tcPr>
            <w:tcW w:w="0" w:type="auto"/>
            <w:vAlign w:val="center"/>
          </w:tcPr>
          <w:p w14:paraId="2C8FB788">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6B18B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0" w:type="auto"/>
            <w:vAlign w:val="center"/>
          </w:tcPr>
          <w:p w14:paraId="1E502755">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68E1076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666A9FAD">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2E5A8967">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r w14:paraId="48B44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0" w:type="auto"/>
            <w:vMerge w:val="continue"/>
          </w:tcPr>
          <w:p w14:paraId="0D555BA3">
            <w:pPr>
              <w:keepNext w:val="0"/>
              <w:keepLines w:val="0"/>
              <w:pageBreakBefore w:val="0"/>
              <w:kinsoku/>
              <w:wordWrap/>
              <w:overflowPunct/>
              <w:topLinePunct w:val="0"/>
              <w:autoSpaceDE/>
              <w:autoSpaceDN/>
              <w:bidi w:val="0"/>
              <w:adjustRightInd/>
              <w:snapToGrid w:val="0"/>
              <w:ind w:firstLine="0" w:firstLineChars="0"/>
              <w:jc w:val="left"/>
              <w:rPr>
                <w:rFonts w:hint="eastAsia" w:ascii="宋体" w:hAnsi="宋体" w:eastAsia="宋体" w:cs="宋体"/>
                <w:color w:val="auto"/>
                <w:sz w:val="24"/>
                <w:szCs w:val="24"/>
              </w:rPr>
            </w:pPr>
          </w:p>
        </w:tc>
        <w:tc>
          <w:tcPr>
            <w:tcW w:w="0" w:type="auto"/>
            <w:vAlign w:val="center"/>
          </w:tcPr>
          <w:p w14:paraId="68CF638A">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智联迅通 RFID 模组</w:t>
            </w:r>
          </w:p>
        </w:tc>
        <w:tc>
          <w:tcPr>
            <w:tcW w:w="0" w:type="auto"/>
            <w:vAlign w:val="center"/>
          </w:tcPr>
          <w:p w14:paraId="01696925">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盘点输出功率0～30dBm (步进1dB)；空口协议：支持EPC Global C1Gen2 /ISO 18000-6B/C；盘点识别灵敏度:&lt;-80dBm @0%BER；识别速率:≥160个/秒；天线增益≥9dBi；具备射频发射接收、读写和解析功能、无线通讯功能。</w:t>
            </w:r>
          </w:p>
        </w:tc>
        <w:tc>
          <w:tcPr>
            <w:tcW w:w="0" w:type="auto"/>
            <w:vAlign w:val="center"/>
          </w:tcPr>
          <w:p w14:paraId="469D160F">
            <w:pPr>
              <w:keepNext w:val="0"/>
              <w:keepLines w:val="0"/>
              <w:pageBreakBefore w:val="0"/>
              <w:widowControl/>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0" w:type="auto"/>
            <w:vAlign w:val="center"/>
          </w:tcPr>
          <w:p w14:paraId="42759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0" w:type="auto"/>
            <w:vAlign w:val="center"/>
          </w:tcPr>
          <w:p w14:paraId="24299EA3">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red"/>
                <w:lang w:val="en-US" w:eastAsia="zh-CN" w:bidi="ar-SA"/>
              </w:rPr>
              <w:t>接到供货通知后15日内</w:t>
            </w:r>
          </w:p>
        </w:tc>
        <w:tc>
          <w:tcPr>
            <w:tcW w:w="0" w:type="auto"/>
            <w:vAlign w:val="center"/>
          </w:tcPr>
          <w:p w14:paraId="0C048808">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3年</w:t>
            </w:r>
          </w:p>
        </w:tc>
        <w:tc>
          <w:tcPr>
            <w:tcW w:w="0" w:type="auto"/>
            <w:vAlign w:val="center"/>
          </w:tcPr>
          <w:p w14:paraId="0BAC373F">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买方指定地点</w:t>
            </w:r>
          </w:p>
        </w:tc>
        <w:tc>
          <w:tcPr>
            <w:tcW w:w="0" w:type="auto"/>
            <w:vMerge w:val="continue"/>
            <w:vAlign w:val="center"/>
          </w:tcPr>
          <w:p w14:paraId="0814549E">
            <w:pPr>
              <w:keepNext w:val="0"/>
              <w:keepLines w:val="0"/>
              <w:pageBreakBefore w:val="0"/>
              <w:widowControl/>
              <w:kinsoku/>
              <w:wordWrap/>
              <w:overflowPunct/>
              <w:autoSpaceDE/>
              <w:autoSpaceDN/>
              <w:bidi w:val="0"/>
              <w:snapToGrid w:val="0"/>
              <w:ind w:firstLine="0" w:firstLineChars="0"/>
              <w:rPr>
                <w:rFonts w:hint="eastAsia" w:ascii="宋体" w:hAnsi="宋体" w:eastAsia="宋体" w:cs="宋体"/>
                <w:color w:val="auto"/>
                <w:sz w:val="24"/>
                <w:szCs w:val="24"/>
              </w:rPr>
            </w:pPr>
          </w:p>
        </w:tc>
      </w:tr>
    </w:tbl>
    <w:p w14:paraId="618FAF00">
      <w:pPr>
        <w:widowControl/>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具体供货不局限于上述产品。应包括上述产品相关配件，类似升级产品，及整体设备的安装调试。</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4" w:name="_GoBack"/>
      <w:bookmarkEnd w:id="4"/>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D45134C"/>
    <w:rsid w:val="107510D5"/>
    <w:rsid w:val="121A6680"/>
    <w:rsid w:val="145B03B7"/>
    <w:rsid w:val="14C56718"/>
    <w:rsid w:val="15382714"/>
    <w:rsid w:val="162E3793"/>
    <w:rsid w:val="1F673085"/>
    <w:rsid w:val="20C0137D"/>
    <w:rsid w:val="23BB7539"/>
    <w:rsid w:val="285F52F5"/>
    <w:rsid w:val="29614FC6"/>
    <w:rsid w:val="2A261E04"/>
    <w:rsid w:val="2B3202B6"/>
    <w:rsid w:val="2CB354A3"/>
    <w:rsid w:val="2FE42AFC"/>
    <w:rsid w:val="31B34FD3"/>
    <w:rsid w:val="34AA792D"/>
    <w:rsid w:val="39444C4F"/>
    <w:rsid w:val="3DA90A2C"/>
    <w:rsid w:val="3F8716FC"/>
    <w:rsid w:val="46ED73AD"/>
    <w:rsid w:val="482A26BE"/>
    <w:rsid w:val="48A6459C"/>
    <w:rsid w:val="4A05330E"/>
    <w:rsid w:val="4C9B7E3A"/>
    <w:rsid w:val="4DCD55A0"/>
    <w:rsid w:val="4F6507F6"/>
    <w:rsid w:val="50445D4E"/>
    <w:rsid w:val="526E69C5"/>
    <w:rsid w:val="5418605D"/>
    <w:rsid w:val="5A0C2BCB"/>
    <w:rsid w:val="5EF64196"/>
    <w:rsid w:val="65567F00"/>
    <w:rsid w:val="66216125"/>
    <w:rsid w:val="67587252"/>
    <w:rsid w:val="67F529D1"/>
    <w:rsid w:val="6B5F79E3"/>
    <w:rsid w:val="70E6518F"/>
    <w:rsid w:val="7243025C"/>
    <w:rsid w:val="7884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4657</Words>
  <Characters>5221</Characters>
  <Lines>0</Lines>
  <Paragraphs>0</Paragraphs>
  <TotalTime>1</TotalTime>
  <ScaleCrop>false</ScaleCrop>
  <LinksUpToDate>false</LinksUpToDate>
  <CharactersWithSpaces>5244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2025-10-24T09:22:41Z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D7F0A053FBD542318AD4AA20D906E783_13</vt:lpwstr>
  </property>
  <property fmtid="{D5CDD505-2E9C-101B-9397-08002B2CF9AE}" pid="4" name="KSOTemplateDocerSaveRecord">
    <vt:lpwstr>eyJoZGlkIjoiYWYyNmUzZTIxOTM2NWQ5NGQwNDYxODU3N2MzMjZhNzAiLCJ1c2VySWQiOiI5NjA4MzkzNTgifQ==</vt:lpwstr>
  </property>
</Properties>
</file>