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7B88">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177"/>
        <w:gridCol w:w="3480"/>
        <w:gridCol w:w="845"/>
        <w:gridCol w:w="936"/>
        <w:gridCol w:w="1140"/>
        <w:gridCol w:w="1200"/>
        <w:gridCol w:w="1103"/>
        <w:gridCol w:w="3290"/>
      </w:tblGrid>
      <w:tr w14:paraId="6320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Align w:val="center"/>
          </w:tcPr>
          <w:p w14:paraId="0D6E92F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415" w:type="pct"/>
            <w:shd w:val="clear" w:color="auto" w:fill="auto"/>
            <w:vAlign w:val="center"/>
          </w:tcPr>
          <w:p w14:paraId="00B91AD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1227" w:type="pct"/>
            <w:shd w:val="clear" w:color="auto" w:fill="auto"/>
            <w:vAlign w:val="center"/>
          </w:tcPr>
          <w:p w14:paraId="35D668A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298" w:type="pct"/>
            <w:shd w:val="clear" w:color="auto" w:fill="auto"/>
            <w:vAlign w:val="center"/>
          </w:tcPr>
          <w:p w14:paraId="6683B45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330" w:type="pct"/>
            <w:shd w:val="clear" w:color="auto" w:fill="auto"/>
            <w:vAlign w:val="center"/>
          </w:tcPr>
          <w:p w14:paraId="1D14559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402" w:type="pct"/>
            <w:shd w:val="clear" w:color="auto" w:fill="FF0000"/>
            <w:vAlign w:val="center"/>
          </w:tcPr>
          <w:p w14:paraId="031F969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423" w:type="pct"/>
            <w:vAlign w:val="center"/>
          </w:tcPr>
          <w:p w14:paraId="4B711EA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质保期</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不低于</w:t>
            </w:r>
            <w:r>
              <w:rPr>
                <w:rFonts w:hint="eastAsia" w:ascii="宋体" w:hAnsi="宋体" w:eastAsia="宋体" w:cs="宋体"/>
                <w:b/>
                <w:bCs/>
                <w:color w:val="auto"/>
                <w:kern w:val="0"/>
                <w:sz w:val="24"/>
                <w:szCs w:val="24"/>
                <w:highlight w:val="none"/>
                <w:lang w:eastAsia="zh-CN"/>
              </w:rPr>
              <w:t>）</w:t>
            </w:r>
          </w:p>
        </w:tc>
        <w:tc>
          <w:tcPr>
            <w:tcW w:w="389" w:type="pct"/>
            <w:shd w:val="clear" w:color="auto" w:fill="auto"/>
            <w:vAlign w:val="center"/>
          </w:tcPr>
          <w:p w14:paraId="5DAAD98D">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160" w:type="pct"/>
            <w:shd w:val="clear" w:color="auto" w:fill="auto"/>
            <w:vAlign w:val="center"/>
          </w:tcPr>
          <w:p w14:paraId="3F12DF6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1E2E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restart"/>
            <w:vAlign w:val="center"/>
          </w:tcPr>
          <w:p w14:paraId="267342F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执行器控制模块、视觉伺服单元等采购项目</w:t>
            </w:r>
          </w:p>
        </w:tc>
        <w:tc>
          <w:tcPr>
            <w:tcW w:w="415" w:type="pct"/>
            <w:shd w:val="clear" w:color="auto" w:fill="auto"/>
            <w:vAlign w:val="center"/>
          </w:tcPr>
          <w:p w14:paraId="548C29D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执行器控制模块</w:t>
            </w:r>
          </w:p>
        </w:tc>
        <w:tc>
          <w:tcPr>
            <w:tcW w:w="1227" w:type="pct"/>
            <w:shd w:val="clear" w:color="auto" w:fill="auto"/>
            <w:vAlign w:val="center"/>
          </w:tcPr>
          <w:p w14:paraId="74B9DE8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2"/>
                <w:sz w:val="24"/>
                <w:szCs w:val="24"/>
                <w:highlight w:val="none"/>
                <w:lang w:val="en-US" w:eastAsia="zh-CN" w:bidi="ar-SA"/>
              </w:rPr>
            </w:pPr>
            <w:r>
              <w:rPr>
                <w:rStyle w:val="13"/>
                <w:rFonts w:hint="eastAsia" w:ascii="宋体" w:hAnsi="宋体" w:eastAsia="宋体" w:cs="宋体"/>
                <w:color w:val="auto"/>
                <w:sz w:val="24"/>
                <w:szCs w:val="24"/>
                <w:highlight w:val="none"/>
                <w:lang w:val="en-US" w:eastAsia="zh-CN" w:bidi="ar"/>
              </w:rPr>
              <w:t>（1）伺服电机扭矩≥20N</w:t>
            </w:r>
            <w:r>
              <w:rPr>
                <w:rStyle w:val="14"/>
                <w:rFonts w:hint="eastAsia" w:ascii="宋体" w:hAnsi="宋体" w:eastAsia="宋体" w:cs="宋体"/>
                <w:color w:val="auto"/>
                <w:sz w:val="24"/>
                <w:szCs w:val="24"/>
                <w:highlight w:val="none"/>
                <w:lang w:val="en-US" w:eastAsia="zh-CN" w:bidi="ar"/>
              </w:rPr>
              <w:t>・</w:t>
            </w:r>
            <w:r>
              <w:rPr>
                <w:rStyle w:val="13"/>
                <w:rFonts w:hint="eastAsia" w:ascii="宋体" w:hAnsi="宋体" w:eastAsia="宋体" w:cs="宋体"/>
                <w:color w:val="auto"/>
                <w:sz w:val="24"/>
                <w:szCs w:val="24"/>
                <w:highlight w:val="none"/>
                <w:lang w:val="en-US" w:eastAsia="zh-CN" w:bidi="ar"/>
              </w:rPr>
              <w:t>m，响应时间≤50ms； 减速器传动比≥100:1，传动效率≥90%；传动轴耐磨强度≥HRC35，使用寿命≥10000 小时。</w:t>
            </w:r>
            <w:r>
              <w:rPr>
                <w:rStyle w:val="13"/>
                <w:rFonts w:hint="eastAsia" w:ascii="宋体" w:hAnsi="宋体" w:eastAsia="宋体" w:cs="宋体"/>
                <w:color w:val="auto"/>
                <w:sz w:val="24"/>
                <w:szCs w:val="24"/>
                <w:highlight w:val="none"/>
                <w:lang w:val="en-US" w:eastAsia="zh-CN" w:bidi="ar"/>
              </w:rPr>
              <w:br w:type="textWrapping"/>
            </w:r>
            <w:r>
              <w:rPr>
                <w:rStyle w:val="13"/>
                <w:rFonts w:hint="eastAsia" w:ascii="宋体" w:hAnsi="宋体" w:eastAsia="宋体" w:cs="宋体"/>
                <w:color w:val="auto"/>
                <w:sz w:val="24"/>
                <w:szCs w:val="24"/>
                <w:highlight w:val="none"/>
                <w:lang w:val="en-US" w:eastAsia="zh-CN" w:bidi="ar"/>
              </w:rPr>
              <w:t>（2）压力传感器测量范围 0-50kg，精度 ±1% FS；防滑脚垫摩擦系数≥0.8，耐磨损≥5000 次摩擦测试；具备防水防尘等级 IP65。</w:t>
            </w:r>
          </w:p>
        </w:tc>
        <w:tc>
          <w:tcPr>
            <w:tcW w:w="298" w:type="pct"/>
            <w:shd w:val="clear" w:color="auto" w:fill="auto"/>
            <w:vAlign w:val="center"/>
          </w:tcPr>
          <w:p w14:paraId="330EF18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50139FB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3510F53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2CD3642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1A34AC6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160" w:type="pct"/>
            <w:vMerge w:val="restart"/>
            <w:shd w:val="clear" w:color="auto" w:fill="auto"/>
            <w:vAlign w:val="center"/>
          </w:tcPr>
          <w:p w14:paraId="15379E7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w:t>
            </w:r>
            <w:r>
              <w:rPr>
                <w:rFonts w:hint="eastAsia" w:ascii="宋体" w:hAnsi="宋体" w:eastAsia="宋体" w:cs="宋体"/>
                <w:color w:val="auto"/>
                <w:kern w:val="0"/>
                <w:sz w:val="24"/>
                <w:szCs w:val="24"/>
                <w:highlight w:val="none"/>
                <w:lang w:val="en-US" w:eastAsia="zh-CN" w:bidi="ar"/>
              </w:rPr>
              <w:t>投标截止</w:t>
            </w:r>
            <w:r>
              <w:rPr>
                <w:rFonts w:hint="eastAsia" w:ascii="宋体" w:hAnsi="宋体" w:eastAsia="宋体" w:cs="宋体"/>
                <w:color w:val="auto"/>
                <w:kern w:val="0"/>
                <w:sz w:val="24"/>
                <w:szCs w:val="24"/>
                <w:highlight w:val="none"/>
              </w:rPr>
              <w:t>日止，投标方完成过机器人或组部件（包含激光导航或声纹监测装置</w:t>
            </w:r>
            <w:r>
              <w:rPr>
                <w:rFonts w:hint="eastAsia" w:ascii="宋体" w:hAnsi="宋体" w:eastAsia="宋体" w:cs="宋体"/>
                <w:color w:val="auto"/>
                <w:kern w:val="0"/>
                <w:sz w:val="24"/>
                <w:szCs w:val="24"/>
                <w:highlight w:val="none"/>
                <w:lang w:val="en-US" w:eastAsia="zh-CN"/>
              </w:rPr>
              <w:t>或摄像机</w:t>
            </w:r>
            <w:r>
              <w:rPr>
                <w:rFonts w:hint="eastAsia" w:ascii="宋体" w:hAnsi="宋体" w:eastAsia="宋体" w:cs="宋体"/>
                <w:color w:val="auto"/>
                <w:kern w:val="0"/>
                <w:sz w:val="24"/>
                <w:szCs w:val="24"/>
                <w:highlight w:val="none"/>
              </w:rPr>
              <w:t>）销售业绩不少于1份，合同额累计不低于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万元。注:业绩必须提供对应的合同复印件、发票和相应查验截图</w:t>
            </w:r>
            <w:r>
              <w:rPr>
                <w:rFonts w:hint="eastAsia" w:ascii="宋体" w:hAnsi="宋体" w:eastAsia="宋体" w:cs="宋体"/>
                <w:color w:val="auto"/>
                <w:kern w:val="0"/>
                <w:sz w:val="24"/>
                <w:szCs w:val="24"/>
                <w:highlight w:val="none"/>
                <w:lang w:val="en-US" w:eastAsia="zh-CN"/>
              </w:rPr>
              <w:t>。</w:t>
            </w:r>
          </w:p>
        </w:tc>
      </w:tr>
      <w:tr w14:paraId="641E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continue"/>
            <w:vAlign w:val="center"/>
          </w:tcPr>
          <w:p w14:paraId="754DC81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415" w:type="pct"/>
            <w:shd w:val="clear" w:color="auto" w:fill="auto"/>
            <w:vAlign w:val="center"/>
          </w:tcPr>
          <w:p w14:paraId="1DF9293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智能算法处理单元</w:t>
            </w:r>
          </w:p>
        </w:tc>
        <w:tc>
          <w:tcPr>
            <w:tcW w:w="1227" w:type="pct"/>
            <w:shd w:val="clear" w:color="auto" w:fill="auto"/>
            <w:vAlign w:val="center"/>
          </w:tcPr>
          <w:p w14:paraId="4D737DD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（1）多核处理器，主频≥2GHz，缓存≥4MB；2. 支持并行运算，数据处理速度≥10GB/s；3. 操作系统兼容性强，支持实时控制。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（2）算法处理延迟≤100ms，故障识别准确率≥95%； 支持多协议数据接入（USB、CAN、Ethernet）；存储容量≥64GB，支持数据本地缓存。</w:t>
            </w:r>
          </w:p>
        </w:tc>
        <w:tc>
          <w:tcPr>
            <w:tcW w:w="298" w:type="pct"/>
            <w:shd w:val="clear" w:color="auto" w:fill="auto"/>
            <w:vAlign w:val="center"/>
          </w:tcPr>
          <w:p w14:paraId="397F3C0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113CB16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3DAAB28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00080AA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7087C0C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160" w:type="pct"/>
            <w:vMerge w:val="continue"/>
            <w:shd w:val="clear" w:color="auto" w:fill="auto"/>
            <w:vAlign w:val="center"/>
          </w:tcPr>
          <w:p w14:paraId="2B18EE2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7930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continue"/>
            <w:vAlign w:val="center"/>
          </w:tcPr>
          <w:p w14:paraId="7D44D63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415" w:type="pct"/>
            <w:shd w:val="clear" w:color="auto" w:fill="auto"/>
            <w:vAlign w:val="center"/>
          </w:tcPr>
          <w:p w14:paraId="50FF3C2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视觉伺服单元</w:t>
            </w:r>
          </w:p>
        </w:tc>
        <w:tc>
          <w:tcPr>
            <w:tcW w:w="1227" w:type="pct"/>
            <w:shd w:val="clear" w:color="auto" w:fill="auto"/>
            <w:vAlign w:val="center"/>
          </w:tcPr>
          <w:p w14:paraId="1DE3F4A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（1）测温范围 - 20℃~200℃，测温精度 ±2% 或 ±2℃（取最大值）；图像分辨率≥640×512，帧频≥25fps；探测距离≥5m。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（2）检测频率范围 300MHz~1.5GHz，灵敏度≤10pC；信号采样率≥1GS/s，存储深度≥16Mpts； 抗干扰能力≥60dB。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（3）像素≥1200 万，分辨率≥4000×3000；镜头焦距 8-20mm（可变焦），光圈≥F1.8；支持夜视模式，最低照度≤0.01lux。</w:t>
            </w:r>
          </w:p>
        </w:tc>
        <w:tc>
          <w:tcPr>
            <w:tcW w:w="298" w:type="pct"/>
            <w:shd w:val="clear" w:color="auto" w:fill="auto"/>
            <w:vAlign w:val="center"/>
          </w:tcPr>
          <w:p w14:paraId="576AB6F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41DE4EC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6D36DE4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3F2F9C6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2720C83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160" w:type="pct"/>
            <w:vMerge w:val="continue"/>
            <w:shd w:val="clear" w:color="auto" w:fill="auto"/>
            <w:vAlign w:val="center"/>
          </w:tcPr>
          <w:p w14:paraId="2D070F3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1A63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continue"/>
            <w:vAlign w:val="center"/>
          </w:tcPr>
          <w:p w14:paraId="04131A8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415" w:type="pct"/>
            <w:shd w:val="clear" w:color="auto" w:fill="auto"/>
            <w:vAlign w:val="center"/>
          </w:tcPr>
          <w:p w14:paraId="78FADA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电源管理单元</w:t>
            </w:r>
          </w:p>
        </w:tc>
        <w:tc>
          <w:tcPr>
            <w:tcW w:w="1227" w:type="pct"/>
            <w:shd w:val="clear" w:color="auto" w:fill="auto"/>
            <w:vAlign w:val="center"/>
          </w:tcPr>
          <w:p w14:paraId="3C114E4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（1）容量≥20Ah，电压≥24V，能量密度≥150Wh/kg；2. 循环寿命≥1000 次，充放电效率≥90%；3. 具备过充、过放、短路保护功能。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（2）充电功率≥60W，快充时间≤2 小时；2. 电池状态监测精度（电压、电流、温度）≤±2%；3. 支持智能充电策略，延长电池寿命。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（3）输出电压精度≤±0.5V，纹波≤50mV；最大输出电流≥30A，支持热插拔；具备过载、过压保护功能，保护响应时间≤10ms。</w:t>
            </w:r>
          </w:p>
        </w:tc>
        <w:tc>
          <w:tcPr>
            <w:tcW w:w="298" w:type="pct"/>
            <w:shd w:val="clear" w:color="auto" w:fill="auto"/>
            <w:vAlign w:val="center"/>
          </w:tcPr>
          <w:p w14:paraId="30E10CE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054390F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068DC27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7F1B054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780A757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160" w:type="pct"/>
            <w:vMerge w:val="continue"/>
            <w:shd w:val="clear" w:color="auto" w:fill="auto"/>
            <w:vAlign w:val="center"/>
          </w:tcPr>
          <w:p w14:paraId="3E0295E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2114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continue"/>
            <w:vAlign w:val="center"/>
          </w:tcPr>
          <w:p w14:paraId="2045D1B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415" w:type="pct"/>
            <w:shd w:val="clear" w:color="auto" w:fill="auto"/>
            <w:vAlign w:val="center"/>
          </w:tcPr>
          <w:p w14:paraId="4F13EA5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通信控制模块</w:t>
            </w:r>
          </w:p>
        </w:tc>
        <w:tc>
          <w:tcPr>
            <w:tcW w:w="1227" w:type="pct"/>
            <w:shd w:val="clear" w:color="auto" w:fill="auto"/>
            <w:vAlign w:val="center"/>
          </w:tcPr>
          <w:p w14:paraId="3A9089C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支持 5G/Wi-Fi 6 / 蓝牙 5.0 多模式通信；5G 传输速率≥1Gbps，Wi-Fi 传输速率≥1.2Gbps；通信距离≥500m（无遮挡），抗干扰能力强。</w:t>
            </w:r>
          </w:p>
        </w:tc>
        <w:tc>
          <w:tcPr>
            <w:tcW w:w="298" w:type="pct"/>
            <w:shd w:val="clear" w:color="auto" w:fill="auto"/>
            <w:vAlign w:val="center"/>
          </w:tcPr>
          <w:p w14:paraId="0BD24E5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23A16EE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78BC403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3AF5BBC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7A19085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160" w:type="pct"/>
            <w:vMerge w:val="continue"/>
            <w:shd w:val="clear" w:color="auto" w:fill="auto"/>
            <w:vAlign w:val="center"/>
          </w:tcPr>
          <w:p w14:paraId="2601B69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43DD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continue"/>
            <w:vAlign w:val="center"/>
          </w:tcPr>
          <w:p w14:paraId="25496D5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415" w:type="pct"/>
            <w:shd w:val="clear" w:color="auto" w:fill="auto"/>
            <w:vAlign w:val="center"/>
          </w:tcPr>
          <w:p w14:paraId="148E7D9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主体外壳组件</w:t>
            </w:r>
          </w:p>
        </w:tc>
        <w:tc>
          <w:tcPr>
            <w:tcW w:w="1227" w:type="pct"/>
            <w:shd w:val="clear" w:color="auto" w:fill="auto"/>
            <w:vAlign w:val="center"/>
          </w:tcPr>
          <w:p w14:paraId="65B712F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（1）材质为航空铝合金，密度≤2.8g/cm³，抗压强度≥300MPa；框架变形量≤0.5mm（满载情况下）；重量≤5kg。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（2）护等级≥IP67，防水防尘防碰撞；材质耐冲击强度≥10J，耐温范围 - 40℃~85℃；重量轻，不影响机器狗运动灵活性。</w:t>
            </w:r>
          </w:p>
        </w:tc>
        <w:tc>
          <w:tcPr>
            <w:tcW w:w="298" w:type="pct"/>
            <w:shd w:val="clear" w:color="auto" w:fill="auto"/>
            <w:vAlign w:val="center"/>
          </w:tcPr>
          <w:p w14:paraId="435C993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1309FCC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7194654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07B0049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4804BEF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160" w:type="pct"/>
            <w:vMerge w:val="continue"/>
            <w:shd w:val="clear" w:color="auto" w:fill="auto"/>
            <w:vAlign w:val="center"/>
          </w:tcPr>
          <w:p w14:paraId="4E2223A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190C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2" w:type="pct"/>
            <w:vMerge w:val="continue"/>
            <w:vAlign w:val="center"/>
          </w:tcPr>
          <w:p w14:paraId="3EEAB9C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415" w:type="pct"/>
            <w:shd w:val="clear" w:color="auto" w:fill="auto"/>
            <w:vAlign w:val="center"/>
          </w:tcPr>
          <w:p w14:paraId="577328F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定位导航模块</w:t>
            </w:r>
          </w:p>
        </w:tc>
        <w:tc>
          <w:tcPr>
            <w:tcW w:w="1227" w:type="pct"/>
            <w:shd w:val="clear" w:color="auto" w:fill="auto"/>
            <w:vAlign w:val="center"/>
          </w:tcPr>
          <w:p w14:paraId="14EE843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val="0"/>
                <w:bCs/>
                <w:snapToGrid/>
                <w:color w:val="auto"/>
                <w:kern w:val="2"/>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 GPS / 北斗定位精度≤1m，差分定位精度≤0.1m；激光雷达探测距离≥10m，角度分辨率≤0.1°；路径规划响应时间≤1s。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（2）陀螺仪测量范围 ±2000°/s，精度≤0.1°/h；加速度计测量范围 ±16g，精度≤±0.01g；数据更新率≥100Hz。</w:t>
            </w:r>
          </w:p>
        </w:tc>
        <w:tc>
          <w:tcPr>
            <w:tcW w:w="298" w:type="pct"/>
            <w:shd w:val="clear" w:color="auto" w:fill="auto"/>
            <w:vAlign w:val="center"/>
          </w:tcPr>
          <w:p w14:paraId="162DC80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30" w:type="pct"/>
            <w:shd w:val="clear" w:color="auto" w:fill="auto"/>
            <w:vAlign w:val="center"/>
          </w:tcPr>
          <w:p w14:paraId="512AF0A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2" w:type="pct"/>
            <w:shd w:val="clear" w:color="auto" w:fill="FF0000"/>
            <w:vAlign w:val="center"/>
          </w:tcPr>
          <w:p w14:paraId="59EDE32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接供货通知后1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日内</w:t>
            </w:r>
          </w:p>
        </w:tc>
        <w:tc>
          <w:tcPr>
            <w:tcW w:w="423" w:type="pct"/>
            <w:vAlign w:val="center"/>
          </w:tcPr>
          <w:p w14:paraId="23E9F81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389" w:type="pct"/>
            <w:shd w:val="clear" w:color="auto" w:fill="auto"/>
            <w:vAlign w:val="center"/>
          </w:tcPr>
          <w:p w14:paraId="6040FAA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160" w:type="pct"/>
            <w:vMerge w:val="continue"/>
            <w:shd w:val="clear" w:color="auto" w:fill="auto"/>
            <w:vAlign w:val="center"/>
          </w:tcPr>
          <w:p w14:paraId="20DE35D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bl>
    <w:p w14:paraId="45A882B0">
      <w:pPr>
        <w:pStyle w:val="12"/>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0403D4">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A8D6F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1C98AF8">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6295FAFB">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FC15ED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5DD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1029AA">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41029AA">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010A36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646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7A6240C"/>
    <w:rsid w:val="121A6680"/>
    <w:rsid w:val="145B03B7"/>
    <w:rsid w:val="14C56718"/>
    <w:rsid w:val="162E3793"/>
    <w:rsid w:val="1EAA18FE"/>
    <w:rsid w:val="1F673085"/>
    <w:rsid w:val="20C0137D"/>
    <w:rsid w:val="23BB7539"/>
    <w:rsid w:val="262F27A2"/>
    <w:rsid w:val="29614FC6"/>
    <w:rsid w:val="2B3202B6"/>
    <w:rsid w:val="2CB354A3"/>
    <w:rsid w:val="2F1158A1"/>
    <w:rsid w:val="2FE42AFC"/>
    <w:rsid w:val="2FF2454B"/>
    <w:rsid w:val="31B34FD3"/>
    <w:rsid w:val="39444C4F"/>
    <w:rsid w:val="3DA90A2C"/>
    <w:rsid w:val="46ED73AD"/>
    <w:rsid w:val="47C95B69"/>
    <w:rsid w:val="47E67E9B"/>
    <w:rsid w:val="482A26BE"/>
    <w:rsid w:val="48A6459C"/>
    <w:rsid w:val="4A05330E"/>
    <w:rsid w:val="4C9B7E3A"/>
    <w:rsid w:val="4DCD55A0"/>
    <w:rsid w:val="4F6507F6"/>
    <w:rsid w:val="526E69C5"/>
    <w:rsid w:val="5418605D"/>
    <w:rsid w:val="5A0C2BCB"/>
    <w:rsid w:val="5EF64196"/>
    <w:rsid w:val="65567F00"/>
    <w:rsid w:val="67587252"/>
    <w:rsid w:val="67F529D1"/>
    <w:rsid w:val="6B5F79E3"/>
    <w:rsid w:val="6BD75128"/>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 w:type="character" w:customStyle="1" w:styleId="13">
    <w:name w:val="font11"/>
    <w:basedOn w:val="8"/>
    <w:qFormat/>
    <w:uiPriority w:val="0"/>
    <w:rPr>
      <w:rFonts w:hint="eastAsia" w:ascii="宋体" w:hAnsi="宋体" w:eastAsia="宋体" w:cs="宋体"/>
      <w:color w:val="000000"/>
      <w:sz w:val="20"/>
      <w:szCs w:val="20"/>
      <w:u w:val="none"/>
    </w:rPr>
  </w:style>
  <w:style w:type="character" w:customStyle="1" w:styleId="14">
    <w:name w:val="font31"/>
    <w:basedOn w:val="8"/>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4577</Words>
  <Characters>5099</Characters>
  <Lines>0</Lines>
  <Paragraphs>0</Paragraphs>
  <TotalTime>4</TotalTime>
  <ScaleCrop>false</ScaleCrop>
  <LinksUpToDate>false</LinksUpToDate>
  <CharactersWithSpaces>5127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2025-11-10T07:46:05Z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0A9D324B108F4A6A8FF5684B6C1210B0_13</vt:lpwstr>
  </property>
  <property fmtid="{D5CDD505-2E9C-101B-9397-08002B2CF9AE}" pid="4" name="KSOTemplateDocerSaveRecord">
    <vt:lpwstr>eyJoZGlkIjoiZDg2MTVhN2YwOGU0M2QxZjAwMWRmNWM5ZTg4ZmM3YWYiLCJ1c2VySWQiOiIxMjU1NjA1NzQ3In0=</vt:lpwstr>
  </property>
</Properties>
</file>