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hd w:val="clear"/>
        <w:spacing w:line="400" w:lineRule="exact"/>
        <w:rPr>
          <w:rFonts w:hint="eastAsia" w:ascii="黑体" w:hAnsi="黑体" w:eastAsia="黑体" w:cs="黑体"/>
          <w:b/>
          <w:bCs/>
          <w:color w:val="auto"/>
          <w:kern w:val="2"/>
          <w:sz w:val="24"/>
          <w:szCs w:val="24"/>
          <w:highlight w:val="none"/>
          <w:lang w:val="en-US"/>
        </w:rPr>
      </w:pPr>
      <w:bookmarkStart w:id="0" w:name="_GoBack"/>
      <w:bookmarkEnd w:id="0"/>
      <w:r>
        <w:rPr>
          <w:rFonts w:ascii="黑体" w:hAnsi="黑体" w:eastAsia="黑体" w:cs="黑体"/>
          <w:b/>
          <w:bCs/>
          <w:color w:val="auto"/>
          <w:kern w:val="2"/>
          <w:sz w:val="24"/>
          <w:szCs w:val="24"/>
          <w:highlight w:val="none"/>
          <w:lang w:val="en-US"/>
        </w:rPr>
        <w:t xml:space="preserve">附件 </w:t>
      </w:r>
      <w:r>
        <w:rPr>
          <w:rFonts w:hint="eastAsia" w:ascii="黑体" w:hAnsi="黑体" w:eastAsia="黑体" w:cs="黑体"/>
          <w:b/>
          <w:bCs/>
          <w:color w:val="auto"/>
          <w:kern w:val="2"/>
          <w:sz w:val="24"/>
          <w:szCs w:val="24"/>
          <w:highlight w:val="none"/>
          <w:lang w:val="en-US"/>
        </w:rPr>
        <w:t>招标公告附件</w:t>
      </w:r>
    </w:p>
    <w:p w14:paraId="6C41FECD">
      <w:pPr>
        <w:pStyle w:val="11"/>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分标一：变电站数据采集感知终端维修项目</w:t>
      </w:r>
    </w:p>
    <w:p w14:paraId="680D554D">
      <w:pPr>
        <w:pStyle w:val="11"/>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分标编号：CY0625SFWK60FZ06</w:t>
      </w:r>
    </w:p>
    <w:tbl>
      <w:tblPr>
        <w:tblStyle w:val="8"/>
        <w:tblW w:w="1383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3073"/>
        <w:gridCol w:w="923"/>
        <w:gridCol w:w="1066"/>
        <w:gridCol w:w="836"/>
        <w:gridCol w:w="1018"/>
        <w:gridCol w:w="1788"/>
        <w:gridCol w:w="2025"/>
        <w:gridCol w:w="1245"/>
      </w:tblGrid>
      <w:tr w14:paraId="7B7C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61" w:type="dxa"/>
            <w:vAlign w:val="center"/>
          </w:tcPr>
          <w:p w14:paraId="6F96EE28">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项目名称</w:t>
            </w:r>
          </w:p>
        </w:tc>
        <w:tc>
          <w:tcPr>
            <w:tcW w:w="3073" w:type="dxa"/>
            <w:vAlign w:val="center"/>
          </w:tcPr>
          <w:p w14:paraId="0C3B6A66">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服务内容</w:t>
            </w:r>
          </w:p>
        </w:tc>
        <w:tc>
          <w:tcPr>
            <w:tcW w:w="923" w:type="dxa"/>
            <w:vAlign w:val="center"/>
          </w:tcPr>
          <w:p w14:paraId="5E6D73E4">
            <w:pPr>
              <w:widowControl/>
              <w:jc w:val="center"/>
              <w:rPr>
                <w:rFonts w:hint="eastAsia" w:ascii="仿宋" w:hAnsi="仿宋" w:eastAsia="仿宋" w:cs="仿宋"/>
                <w:b/>
                <w:bCs/>
                <w:color w:val="FF0000"/>
                <w:kern w:val="0"/>
                <w:sz w:val="22"/>
                <w:szCs w:val="22"/>
                <w:highlight w:val="none"/>
              </w:rPr>
            </w:pPr>
            <w:r>
              <w:rPr>
                <w:rFonts w:hint="eastAsia" w:ascii="仿宋" w:hAnsi="仿宋" w:eastAsia="仿宋" w:cs="仿宋"/>
                <w:b/>
                <w:bCs/>
                <w:color w:val="FF0000"/>
                <w:kern w:val="0"/>
                <w:sz w:val="22"/>
                <w:szCs w:val="22"/>
                <w:highlight w:val="none"/>
              </w:rPr>
              <w:t>数量</w:t>
            </w:r>
          </w:p>
        </w:tc>
        <w:tc>
          <w:tcPr>
            <w:tcW w:w="1066" w:type="dxa"/>
            <w:vAlign w:val="center"/>
          </w:tcPr>
          <w:p w14:paraId="2803CB72">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单位</w:t>
            </w:r>
          </w:p>
        </w:tc>
        <w:tc>
          <w:tcPr>
            <w:tcW w:w="836" w:type="dxa"/>
            <w:vAlign w:val="center"/>
          </w:tcPr>
          <w:p w14:paraId="34A0912F">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工期</w:t>
            </w:r>
          </w:p>
        </w:tc>
        <w:tc>
          <w:tcPr>
            <w:tcW w:w="1018" w:type="dxa"/>
            <w:vAlign w:val="center"/>
          </w:tcPr>
          <w:p w14:paraId="0EEE7778">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质保期</w:t>
            </w:r>
          </w:p>
        </w:tc>
        <w:tc>
          <w:tcPr>
            <w:tcW w:w="1788" w:type="dxa"/>
            <w:vAlign w:val="center"/>
          </w:tcPr>
          <w:p w14:paraId="5882CBC1">
            <w:pPr>
              <w:widowControl/>
              <w:shd w:val="clear"/>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2025" w:type="dxa"/>
            <w:vAlign w:val="center"/>
          </w:tcPr>
          <w:p w14:paraId="3BE5624D">
            <w:pPr>
              <w:widowControl/>
              <w:shd w:val="clear"/>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245" w:type="dxa"/>
            <w:vAlign w:val="center"/>
          </w:tcPr>
          <w:p w14:paraId="588A03F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1636ED4">
            <w:pPr>
              <w:widowControl/>
              <w:shd w:val="clear"/>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548D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861" w:type="dxa"/>
            <w:vAlign w:val="center"/>
          </w:tcPr>
          <w:p w14:paraId="115CDC33">
            <w:pPr>
              <w:widowControl/>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Arial"/>
                <w:color w:val="000000"/>
                <w:kern w:val="0"/>
                <w:sz w:val="22"/>
                <w:szCs w:val="22"/>
                <w:highlight w:val="none"/>
              </w:rPr>
              <w:t>变电站数据采集感知终端维修项目</w:t>
            </w:r>
          </w:p>
        </w:tc>
        <w:tc>
          <w:tcPr>
            <w:tcW w:w="3073" w:type="dxa"/>
            <w:vAlign w:val="center"/>
          </w:tcPr>
          <w:p w14:paraId="32784D98">
            <w:pPr>
              <w:widowControl/>
              <w:jc w:val="left"/>
              <w:rPr>
                <w:rFonts w:hint="eastAsia" w:ascii="仿宋" w:hAnsi="仿宋" w:eastAsia="仿宋"/>
                <w:color w:val="FF0000"/>
                <w:kern w:val="0"/>
                <w:sz w:val="24"/>
                <w:szCs w:val="24"/>
                <w:highlight w:val="none"/>
              </w:rPr>
            </w:pPr>
            <w:r>
              <w:rPr>
                <w:rFonts w:hint="eastAsia" w:ascii="仿宋" w:hAnsi="仿宋" w:eastAsia="仿宋"/>
                <w:color w:val="000000" w:themeColor="text1"/>
                <w:kern w:val="0"/>
                <w:sz w:val="24"/>
                <w:szCs w:val="24"/>
                <w:highlight w:val="none"/>
                <w14:textFill>
                  <w14:solidFill>
                    <w14:schemeClr w14:val="tx1"/>
                  </w14:solidFill>
                </w14:textFill>
              </w:rPr>
              <w:t>对监控系统进行维修，维修CPU插件、电源插件、数字输入输出插件、模拟输入输出插件、显示单元，交换机电源插件，并完成安装调试。</w:t>
            </w:r>
            <w:r>
              <w:rPr>
                <w:rFonts w:hint="eastAsia" w:ascii="仿宋" w:hAnsi="仿宋" w:eastAsia="仿宋" w:cs="仿宋"/>
                <w:color w:val="000000" w:themeColor="text1"/>
                <w:kern w:val="0"/>
                <w:sz w:val="22"/>
                <w:szCs w:val="22"/>
                <w:highlight w:val="none"/>
                <w:lang w:bidi="ar"/>
                <w14:textFill>
                  <w14:solidFill>
                    <w14:schemeClr w14:val="tx1"/>
                  </w14:solidFill>
                </w14:textFill>
              </w:rPr>
              <w:t>详见技术规范。</w:t>
            </w:r>
          </w:p>
        </w:tc>
        <w:tc>
          <w:tcPr>
            <w:tcW w:w="923" w:type="dxa"/>
            <w:vAlign w:val="center"/>
          </w:tcPr>
          <w:p w14:paraId="4C459B7B">
            <w:pPr>
              <w:widowControl/>
              <w:jc w:val="center"/>
              <w:rPr>
                <w:rFonts w:hint="eastAsia" w:ascii="仿宋" w:hAnsi="仿宋" w:eastAsia="仿宋" w:cs="仿宋"/>
                <w:bCs/>
                <w:color w:val="FF0000"/>
                <w:kern w:val="0"/>
                <w:sz w:val="22"/>
                <w:szCs w:val="22"/>
                <w:highlight w:val="none"/>
              </w:rPr>
            </w:pPr>
            <w:r>
              <w:rPr>
                <w:rFonts w:hint="eastAsia" w:ascii="仿宋" w:hAnsi="仿宋" w:eastAsia="仿宋" w:cs="仿宋"/>
                <w:bCs/>
                <w:color w:val="FF0000"/>
                <w:kern w:val="0"/>
                <w:sz w:val="22"/>
                <w:szCs w:val="22"/>
                <w:highlight w:val="none"/>
              </w:rPr>
              <w:t>1</w:t>
            </w:r>
          </w:p>
        </w:tc>
        <w:tc>
          <w:tcPr>
            <w:tcW w:w="1066" w:type="dxa"/>
            <w:vAlign w:val="center"/>
          </w:tcPr>
          <w:p w14:paraId="256AA0AA">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宗</w:t>
            </w:r>
          </w:p>
        </w:tc>
        <w:tc>
          <w:tcPr>
            <w:tcW w:w="836" w:type="dxa"/>
            <w:vAlign w:val="center"/>
          </w:tcPr>
          <w:p w14:paraId="06A27194">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100天</w:t>
            </w:r>
          </w:p>
        </w:tc>
        <w:tc>
          <w:tcPr>
            <w:tcW w:w="1018" w:type="dxa"/>
            <w:vAlign w:val="center"/>
          </w:tcPr>
          <w:p w14:paraId="20EBE9BF">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通过验收合格之日起1年</w:t>
            </w:r>
          </w:p>
        </w:tc>
        <w:tc>
          <w:tcPr>
            <w:tcW w:w="1788" w:type="dxa"/>
            <w:vAlign w:val="center"/>
          </w:tcPr>
          <w:p w14:paraId="54ABA020">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有效的安全生产许可证</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需提供有效的安全生产许可证书</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需提供承装修饰四级及四级以上证书。</w:t>
            </w:r>
          </w:p>
        </w:tc>
        <w:tc>
          <w:tcPr>
            <w:tcW w:w="2025" w:type="dxa"/>
            <w:vAlign w:val="center"/>
          </w:tcPr>
          <w:p w14:paraId="633A5ECF">
            <w:pPr>
              <w:widowControl/>
              <w:jc w:val="center"/>
              <w:rPr>
                <w:rFonts w:hint="eastAsia" w:ascii="仿宋" w:hAnsi="仿宋" w:eastAsia="仿宋" w:cs="Arial"/>
                <w:bCs/>
                <w:color w:val="000000" w:themeColor="text1"/>
                <w:kern w:val="0"/>
                <w:sz w:val="22"/>
                <w:szCs w:val="22"/>
                <w:highlight w:val="none"/>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sz w:val="22"/>
                <w:szCs w:val="22"/>
                <w:highlight w:val="none"/>
              </w:rPr>
              <w:t>2022年1月1日至招标公告发布日内，具有变电站运维或在线监测装置维修服务类业绩项目不少于3份。（时间以合同签订日期为准，须提供用户合同封面、金额页、合同签字盖章页复印件、证明合同内容的合同页、发票复印件、发票查验结果截图</w:t>
            </w:r>
            <w:r>
              <w:rPr>
                <w:rFonts w:hint="eastAsia" w:ascii="仿宋" w:hAnsi="仿宋" w:eastAsia="仿宋"/>
                <w:sz w:val="21"/>
                <w:szCs w:val="21"/>
                <w:highlight w:val="none"/>
              </w:rPr>
              <w:t>）</w:t>
            </w:r>
          </w:p>
        </w:tc>
        <w:tc>
          <w:tcPr>
            <w:tcW w:w="1245" w:type="dxa"/>
            <w:vAlign w:val="center"/>
          </w:tcPr>
          <w:p w14:paraId="1D211D37">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1.2</w:t>
            </w:r>
          </w:p>
        </w:tc>
      </w:tr>
    </w:tbl>
    <w:p w14:paraId="7BB7901C">
      <w:pPr>
        <w:widowControl/>
        <w:ind w:firstLine="440" w:firstLineChars="200"/>
        <w:jc w:val="left"/>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7E5FCEA3">
      <w:pP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备注：</w:t>
      </w:r>
    </w:p>
    <w:p w14:paraId="3C874AE9">
      <w:pP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D51B313">
      <w:pP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2.投标文件中提供的证明材料复印件应复印清晰、可辨认且不得遮盖、涂抹，否则视为无效。</w:t>
      </w:r>
    </w:p>
    <w:p w14:paraId="324F9EFE">
      <w:pPr>
        <w:rPr>
          <w:rFonts w:hint="eastAsia" w:ascii="仿宋" w:hAnsi="仿宋" w:eastAsia="仿宋" w:cs="仿宋"/>
          <w:color w:val="000000" w:themeColor="text1"/>
          <w:sz w:val="22"/>
          <w:szCs w:val="22"/>
          <w:highlight w:val="none"/>
          <w14:textFill>
            <w14:solidFill>
              <w14:schemeClr w14:val="tx1"/>
            </w14:solidFill>
          </w14:textFill>
        </w:rPr>
        <w:sectPr>
          <w:footerReference r:id="rId3"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bCs/>
          <w:color w:val="000000" w:themeColor="text1"/>
          <w:sz w:val="22"/>
          <w:szCs w:val="22"/>
          <w:highlight w:val="none"/>
          <w14:textFill>
            <w14:solidFill>
              <w14:schemeClr w14:val="tx1"/>
            </w14:solidFill>
          </w14:textFill>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cs="仿宋"/>
          <w:b/>
          <w:bCs/>
          <w:color w:val="FF0000"/>
          <w:sz w:val="22"/>
          <w:szCs w:val="22"/>
          <w:highlight w:val="none"/>
        </w:rPr>
        <w:t>以合同签订时间</w:t>
      </w:r>
      <w:r>
        <w:rPr>
          <w:rFonts w:hint="eastAsia" w:ascii="仿宋" w:hAnsi="仿宋" w:eastAsia="仿宋" w:cs="仿宋"/>
          <w:b/>
          <w:bCs/>
          <w:color w:val="000000" w:themeColor="text1"/>
          <w:sz w:val="22"/>
          <w:szCs w:val="22"/>
          <w:highlight w:val="none"/>
          <w14:textFill>
            <w14:solidFill>
              <w14:schemeClr w14:val="tx1"/>
            </w14:solidFill>
          </w14:textFill>
        </w:rPr>
        <w:t>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cs="仿宋"/>
          <w:b/>
          <w:bCs/>
          <w:color w:val="FF0000"/>
          <w:sz w:val="22"/>
          <w:szCs w:val="22"/>
          <w:highlight w:val="none"/>
        </w:rPr>
        <w:t>不得晚于采购公告发布时间</w:t>
      </w:r>
      <w:r>
        <w:rPr>
          <w:rFonts w:hint="eastAsia" w:ascii="仿宋" w:hAnsi="仿宋" w:eastAsia="仿宋" w:cs="仿宋"/>
          <w:b/>
          <w:bCs/>
          <w:color w:val="000000" w:themeColor="text1"/>
          <w:sz w:val="22"/>
          <w:szCs w:val="22"/>
          <w:highlight w:val="none"/>
          <w14:textFill>
            <w14:solidFill>
              <w14:schemeClr w14:val="tx1"/>
            </w14:solidFill>
          </w14:textFill>
        </w:rPr>
        <w:t>。未提供发票或未提供对应发票查验结果截图的或发票开标日期晚于采购公告发布时间的业绩不予认可。所有业绩支撑证明材料内容须保证清晰、可辨认且不得遮盖、涂抹</w:t>
      </w:r>
    </w:p>
    <w:p w14:paraId="24CAA509">
      <w:pPr>
        <w:pStyle w:val="11"/>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分标二：居配第二电源劳务服务项目</w:t>
      </w:r>
    </w:p>
    <w:p w14:paraId="2E8DD7AD">
      <w:pPr>
        <w:pStyle w:val="11"/>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分标编号：CY0625SFWK60FZ07</w:t>
      </w:r>
    </w:p>
    <w:tbl>
      <w:tblPr>
        <w:tblStyle w:val="8"/>
        <w:tblW w:w="1377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499"/>
        <w:gridCol w:w="750"/>
        <w:gridCol w:w="867"/>
        <w:gridCol w:w="680"/>
        <w:gridCol w:w="828"/>
        <w:gridCol w:w="1568"/>
        <w:gridCol w:w="3690"/>
        <w:gridCol w:w="1380"/>
      </w:tblGrid>
      <w:tr w14:paraId="6353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13" w:type="dxa"/>
            <w:vAlign w:val="center"/>
          </w:tcPr>
          <w:p w14:paraId="11B2FBC1">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2499" w:type="dxa"/>
            <w:vAlign w:val="center"/>
          </w:tcPr>
          <w:p w14:paraId="4B28809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750" w:type="dxa"/>
            <w:vAlign w:val="center"/>
          </w:tcPr>
          <w:p w14:paraId="030482E3">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867" w:type="dxa"/>
            <w:vAlign w:val="center"/>
          </w:tcPr>
          <w:p w14:paraId="460A83FE">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680" w:type="dxa"/>
            <w:vAlign w:val="center"/>
          </w:tcPr>
          <w:p w14:paraId="6D89E56D">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828" w:type="dxa"/>
            <w:vAlign w:val="center"/>
          </w:tcPr>
          <w:p w14:paraId="7F513E2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1568" w:type="dxa"/>
            <w:vAlign w:val="center"/>
          </w:tcPr>
          <w:p w14:paraId="0D17B6A2">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3690" w:type="dxa"/>
            <w:vAlign w:val="center"/>
          </w:tcPr>
          <w:p w14:paraId="5730B438">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380" w:type="dxa"/>
            <w:vAlign w:val="center"/>
          </w:tcPr>
          <w:p w14:paraId="5FD73677">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EF168FD">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051E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513" w:type="dxa"/>
            <w:vAlign w:val="center"/>
          </w:tcPr>
          <w:p w14:paraId="70223CBB">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居配第二电源劳务服务项目（包一）</w:t>
            </w:r>
          </w:p>
        </w:tc>
        <w:tc>
          <w:tcPr>
            <w:tcW w:w="2499" w:type="dxa"/>
            <w:vAlign w:val="center"/>
          </w:tcPr>
          <w:p w14:paraId="71ACBCA9">
            <w:pPr>
              <w:widowControl/>
              <w:jc w:val="left"/>
              <w:rPr>
                <w:rFonts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color w:val="000000"/>
                <w:kern w:val="0"/>
                <w:sz w:val="22"/>
                <w:szCs w:val="22"/>
                <w:highlight w:val="none"/>
                <w:lang w:bidi="ar"/>
              </w:rPr>
              <w:t>新建单回电缆线路、安装一二次融合环网柜、安装分界开关、敷设普通光缆、ODF光配模块、ONU设备、分光器设备等。</w:t>
            </w:r>
          </w:p>
        </w:tc>
        <w:tc>
          <w:tcPr>
            <w:tcW w:w="750" w:type="dxa"/>
            <w:vAlign w:val="center"/>
          </w:tcPr>
          <w:p w14:paraId="2DC94B5F">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867" w:type="dxa"/>
            <w:vAlign w:val="center"/>
          </w:tcPr>
          <w:p w14:paraId="035A8019">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680" w:type="dxa"/>
            <w:vAlign w:val="center"/>
          </w:tcPr>
          <w:p w14:paraId="7A7706C6">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100天</w:t>
            </w:r>
          </w:p>
        </w:tc>
        <w:tc>
          <w:tcPr>
            <w:tcW w:w="828" w:type="dxa"/>
            <w:vAlign w:val="center"/>
          </w:tcPr>
          <w:p w14:paraId="3EE99C7B">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1568" w:type="dxa"/>
            <w:vAlign w:val="center"/>
          </w:tcPr>
          <w:p w14:paraId="4DD62DE6">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提供施工劳务不分等级资质证书</w:t>
            </w:r>
          </w:p>
        </w:tc>
        <w:tc>
          <w:tcPr>
            <w:tcW w:w="3690" w:type="dxa"/>
            <w:vAlign w:val="center"/>
          </w:tcPr>
          <w:p w14:paraId="27E412C3">
            <w:pPr>
              <w:widowControl/>
              <w:jc w:val="center"/>
              <w:rPr>
                <w:rFonts w:hint="eastAsia" w:ascii="仿宋" w:hAnsi="仿宋" w:eastAsia="仿宋" w:cs="Arial"/>
                <w:bCs/>
                <w:color w:val="000000" w:themeColor="text1"/>
                <w:kern w:val="0"/>
                <w:sz w:val="22"/>
                <w:szCs w:val="22"/>
                <w:highlight w:val="none"/>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2022年1月1日至招标公告发布之日内，具有10（20）kV配电工程施工业绩不少于1个</w:t>
            </w:r>
            <w:r>
              <w:rPr>
                <w:rFonts w:hint="eastAsia" w:ascii="仿宋" w:hAnsi="仿宋" w:eastAsia="仿宋" w:cs="仿宋"/>
                <w:color w:val="000000" w:themeColor="text1"/>
                <w:kern w:val="0"/>
                <w:sz w:val="22"/>
                <w:szCs w:val="22"/>
                <w:highlight w:val="none"/>
                <w14:textFill>
                  <w14:solidFill>
                    <w14:schemeClr w14:val="tx1"/>
                  </w14:solidFill>
                </w14:textFill>
              </w:rPr>
              <w:t>（时间以合同签订日期为准，须提供用户合同封面、金额页、合同签字盖章页复印件、证明合同内容的合同页、发票复印件、发票查验结果截图）</w:t>
            </w:r>
          </w:p>
        </w:tc>
        <w:tc>
          <w:tcPr>
            <w:tcW w:w="1380" w:type="dxa"/>
            <w:vAlign w:val="center"/>
          </w:tcPr>
          <w:p w14:paraId="0B9E37A1">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0.4</w:t>
            </w:r>
          </w:p>
        </w:tc>
      </w:tr>
      <w:tr w14:paraId="7359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1513" w:type="dxa"/>
            <w:vAlign w:val="center"/>
          </w:tcPr>
          <w:p w14:paraId="5C9082AE">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居配第二电源劳务服务项目（包二）</w:t>
            </w:r>
          </w:p>
        </w:tc>
        <w:tc>
          <w:tcPr>
            <w:tcW w:w="2499" w:type="dxa"/>
            <w:vAlign w:val="center"/>
          </w:tcPr>
          <w:p w14:paraId="2EF24001">
            <w:pPr>
              <w:widowControl/>
              <w:jc w:val="left"/>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新建单回电缆线路、安装一二次融合环网柜、安装分界开关、敷设普通光缆、ODF光配模块、ONU设备、分光器设备等。</w:t>
            </w:r>
          </w:p>
        </w:tc>
        <w:tc>
          <w:tcPr>
            <w:tcW w:w="750" w:type="dxa"/>
            <w:vAlign w:val="center"/>
          </w:tcPr>
          <w:p w14:paraId="1E8E2455">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867" w:type="dxa"/>
            <w:vAlign w:val="center"/>
          </w:tcPr>
          <w:p w14:paraId="4E148CAC">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680" w:type="dxa"/>
            <w:vAlign w:val="center"/>
          </w:tcPr>
          <w:p w14:paraId="05657A61">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100天</w:t>
            </w:r>
          </w:p>
        </w:tc>
        <w:tc>
          <w:tcPr>
            <w:tcW w:w="828" w:type="dxa"/>
            <w:vAlign w:val="center"/>
          </w:tcPr>
          <w:p w14:paraId="21149130">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1568" w:type="dxa"/>
            <w:vAlign w:val="center"/>
          </w:tcPr>
          <w:p w14:paraId="5D8F0A74">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提供施工劳务不分等级资质证书</w:t>
            </w:r>
          </w:p>
        </w:tc>
        <w:tc>
          <w:tcPr>
            <w:tcW w:w="3690" w:type="dxa"/>
            <w:vAlign w:val="center"/>
          </w:tcPr>
          <w:p w14:paraId="34F9B1C3">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2022年1月1日至招标公告发布之日内，具有10（20）kV配电工程施工业绩不少于1个</w:t>
            </w:r>
            <w:r>
              <w:rPr>
                <w:rFonts w:hint="eastAsia" w:ascii="仿宋" w:hAnsi="仿宋" w:eastAsia="仿宋" w:cs="仿宋"/>
                <w:color w:val="000000" w:themeColor="text1"/>
                <w:kern w:val="0"/>
                <w:sz w:val="22"/>
                <w:szCs w:val="22"/>
                <w:highlight w:val="none"/>
                <w14:textFill>
                  <w14:solidFill>
                    <w14:schemeClr w14:val="tx1"/>
                  </w14:solidFill>
                </w14:textFill>
              </w:rPr>
              <w:t>（时间以合同签订日期为准，须提供用户合同封面、金额页、合同签字盖章页复印件、证明合同内容的合同页、发票复印件、发票查验结果截图）</w:t>
            </w:r>
          </w:p>
        </w:tc>
        <w:tc>
          <w:tcPr>
            <w:tcW w:w="1380" w:type="dxa"/>
            <w:vAlign w:val="center"/>
          </w:tcPr>
          <w:p w14:paraId="3D9D5DA7">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0.2</w:t>
            </w:r>
          </w:p>
        </w:tc>
      </w:tr>
    </w:tbl>
    <w:p w14:paraId="78630217">
      <w:pPr>
        <w:widowControl/>
        <w:ind w:firstLine="440" w:firstLineChars="200"/>
        <w:jc w:val="left"/>
        <w:rPr>
          <w:b/>
          <w:color w:val="000000" w:themeColor="text1"/>
          <w:sz w:val="4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4154732B">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36784718">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9C02561">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2.投标文件中提供的证明材料复印件应复印清晰、可辨认且不得遮盖、涂抹，否则视为无效。</w:t>
      </w:r>
    </w:p>
    <w:p w14:paraId="7B1653BA">
      <w:pPr>
        <w:pStyle w:val="11"/>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仿宋" w:hAnsi="仿宋" w:eastAsia="仿宋" w:cs="仿宋"/>
          <w:sz w:val="21"/>
          <w:szCs w:val="21"/>
          <w:highlight w:val="none"/>
        </w:rPr>
        <w:t>3.</w:t>
      </w:r>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采购公告发布时间。未提供发票或未提供对应发票查验结果截图的或发票开标日期晚于采购公告发布时间的业绩不予认可。所有业绩支撑证明材料内容须保证清晰、可辨认且不得遮盖、涂抹。</w:t>
      </w:r>
    </w:p>
    <w:p w14:paraId="65E85D9F">
      <w:pPr>
        <w:pStyle w:val="11"/>
        <w:shd w:val="clear"/>
        <w:spacing w:line="400" w:lineRule="exact"/>
        <w:rPr>
          <w:rFonts w:hint="eastAsia" w:ascii="黑体" w:hAnsi="黑体" w:eastAsia="黑体" w:cs="黑体"/>
          <w:b/>
          <w:bCs/>
          <w:color w:val="auto"/>
          <w:kern w:val="2"/>
          <w:sz w:val="24"/>
          <w:szCs w:val="24"/>
          <w:highlight w:val="none"/>
          <w:lang w:val="en-US" w:eastAsia="zh-CN"/>
        </w:rPr>
      </w:pPr>
    </w:p>
    <w:p w14:paraId="535E9017">
      <w:pPr>
        <w:pStyle w:val="11"/>
        <w:shd w:val="clear"/>
        <w:spacing w:line="400" w:lineRule="exact"/>
        <w:rPr>
          <w:rFonts w:hint="eastAsia" w:ascii="黑体" w:hAnsi="黑体" w:eastAsia="黑体" w:cs="黑体"/>
          <w:b/>
          <w:bCs/>
          <w:color w:val="auto"/>
          <w:kern w:val="2"/>
          <w:sz w:val="24"/>
          <w:szCs w:val="24"/>
          <w:highlight w:val="none"/>
          <w:lang w:val="en-US" w:eastAsia="zh-CN"/>
        </w:rPr>
      </w:pPr>
    </w:p>
    <w:p w14:paraId="529CA0D8">
      <w:pPr>
        <w:pStyle w:val="11"/>
        <w:shd w:val="clear"/>
        <w:spacing w:line="400" w:lineRule="exact"/>
        <w:rPr>
          <w:rFonts w:hint="eastAsia" w:ascii="黑体" w:hAnsi="黑体" w:eastAsia="黑体" w:cs="黑体"/>
          <w:b/>
          <w:bCs/>
          <w:color w:val="auto"/>
          <w:kern w:val="2"/>
          <w:sz w:val="24"/>
          <w:szCs w:val="24"/>
          <w:highlight w:val="none"/>
          <w:lang w:val="en-US" w:eastAsia="zh-CN"/>
        </w:rPr>
      </w:pPr>
    </w:p>
    <w:p w14:paraId="3BB011F7">
      <w:pPr>
        <w:shd w:val="clear"/>
        <w:rPr>
          <w:rFonts w:hint="eastAsia" w:ascii="仿宋" w:hAnsi="仿宋" w:eastAsia="仿宋"/>
          <w:color w:val="auto"/>
          <w:sz w:val="22"/>
          <w:szCs w:val="2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2FA082F"/>
    <w:rsid w:val="03522419"/>
    <w:rsid w:val="049802FF"/>
    <w:rsid w:val="067D155B"/>
    <w:rsid w:val="06C74530"/>
    <w:rsid w:val="072B5DFF"/>
    <w:rsid w:val="07886409"/>
    <w:rsid w:val="085E53BC"/>
    <w:rsid w:val="08E41D65"/>
    <w:rsid w:val="09D70941"/>
    <w:rsid w:val="0A252635"/>
    <w:rsid w:val="0A3B3C06"/>
    <w:rsid w:val="0BD936D7"/>
    <w:rsid w:val="0F2B249C"/>
    <w:rsid w:val="11274EE5"/>
    <w:rsid w:val="123134E0"/>
    <w:rsid w:val="125A3098"/>
    <w:rsid w:val="144B398A"/>
    <w:rsid w:val="19EA7F0D"/>
    <w:rsid w:val="1A6E76E0"/>
    <w:rsid w:val="1AE23C2A"/>
    <w:rsid w:val="1B022F53"/>
    <w:rsid w:val="1E195BB5"/>
    <w:rsid w:val="216E6218"/>
    <w:rsid w:val="21B73A67"/>
    <w:rsid w:val="21BC068A"/>
    <w:rsid w:val="25583467"/>
    <w:rsid w:val="26190E48"/>
    <w:rsid w:val="262F241A"/>
    <w:rsid w:val="28982781"/>
    <w:rsid w:val="2A5C1303"/>
    <w:rsid w:val="2AD371E3"/>
    <w:rsid w:val="2C427C13"/>
    <w:rsid w:val="2DCA0C7A"/>
    <w:rsid w:val="3528559A"/>
    <w:rsid w:val="35A5702F"/>
    <w:rsid w:val="37270EEB"/>
    <w:rsid w:val="381C0324"/>
    <w:rsid w:val="3A4B5344"/>
    <w:rsid w:val="3BFF2436"/>
    <w:rsid w:val="3D3B124C"/>
    <w:rsid w:val="3EBE2135"/>
    <w:rsid w:val="3EC3599D"/>
    <w:rsid w:val="3FC925C9"/>
    <w:rsid w:val="4033445D"/>
    <w:rsid w:val="41E41EB2"/>
    <w:rsid w:val="42706353"/>
    <w:rsid w:val="46AE0CE1"/>
    <w:rsid w:val="47DC187E"/>
    <w:rsid w:val="4B4B2FA2"/>
    <w:rsid w:val="4D981108"/>
    <w:rsid w:val="4E2D4BE1"/>
    <w:rsid w:val="554260F9"/>
    <w:rsid w:val="5A737E20"/>
    <w:rsid w:val="5BD556C9"/>
    <w:rsid w:val="5E0A7399"/>
    <w:rsid w:val="5E916AC6"/>
    <w:rsid w:val="60D02126"/>
    <w:rsid w:val="61686204"/>
    <w:rsid w:val="616B7AA3"/>
    <w:rsid w:val="61BA6334"/>
    <w:rsid w:val="650B69B1"/>
    <w:rsid w:val="65BD379D"/>
    <w:rsid w:val="67277FC8"/>
    <w:rsid w:val="6EFD5AB2"/>
    <w:rsid w:val="70F17F11"/>
    <w:rsid w:val="715E0A8A"/>
    <w:rsid w:val="72073561"/>
    <w:rsid w:val="73ED07EB"/>
    <w:rsid w:val="772B7660"/>
    <w:rsid w:val="77F9150C"/>
    <w:rsid w:val="7A432F13"/>
    <w:rsid w:val="7A7F0F4D"/>
    <w:rsid w:val="7B0A6E8C"/>
    <w:rsid w:val="7BC13B25"/>
    <w:rsid w:val="7E2968C4"/>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6082</Words>
  <Characters>6768</Characters>
  <Lines>0</Lines>
  <Paragraphs>0</Paragraphs>
  <TotalTime>20</TotalTime>
  <ScaleCrop>false</ScaleCrop>
  <LinksUpToDate>false</LinksUpToDate>
  <CharactersWithSpaces>6784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2025-12-18T02:11:37Z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