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9B0F">
      <w:pPr>
        <w:pStyle w:val="13"/>
        <w:spacing w:line="400" w:lineRule="exact"/>
        <w:outlineLvl w:val="1"/>
        <w:rPr>
          <w:rFonts w:ascii="黑体" w:hAnsi="黑体" w:eastAsia="黑体" w:cs="黑体"/>
          <w:b/>
          <w:bCs/>
          <w:color w:val="000000" w:themeColor="text1"/>
          <w:kern w:val="2"/>
          <w:sz w:val="24"/>
          <w:szCs w:val="24"/>
          <w:highlight w:val="none"/>
          <w:lang w:val="en-US" w:eastAsia="zh-CN"/>
          <w14:textFill>
            <w14:solidFill>
              <w14:schemeClr w14:val="tx1"/>
            </w14:solidFill>
          </w14:textFill>
        </w:rPr>
      </w:pPr>
      <w:bookmarkStart w:id="0" w:name="_GoBack"/>
      <w:bookmarkEnd w:id="0"/>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采购公告附件：</w:t>
      </w:r>
    </w:p>
    <w:p w14:paraId="416BCCCF">
      <w:pPr>
        <w:pStyle w:val="13"/>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分标一：主站信息接入配件采购项目</w:t>
      </w:r>
    </w:p>
    <w:p w14:paraId="0885AA91">
      <w:pPr>
        <w:pStyle w:val="13"/>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60"/>
        <w:gridCol w:w="1958"/>
        <w:gridCol w:w="515"/>
        <w:gridCol w:w="698"/>
        <w:gridCol w:w="690"/>
        <w:gridCol w:w="555"/>
        <w:gridCol w:w="705"/>
        <w:gridCol w:w="2629"/>
        <w:gridCol w:w="3283"/>
        <w:gridCol w:w="1207"/>
      </w:tblGrid>
      <w:tr w14:paraId="3AFA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5" w:hRule="atLeast"/>
          <w:jc w:val="center"/>
        </w:trPr>
        <w:tc>
          <w:tcPr>
            <w:tcW w:w="0" w:type="auto"/>
            <w:vAlign w:val="center"/>
          </w:tcPr>
          <w:p w14:paraId="0DB30770">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序号</w:t>
            </w:r>
          </w:p>
        </w:tc>
        <w:tc>
          <w:tcPr>
            <w:tcW w:w="0" w:type="auto"/>
            <w:vAlign w:val="center"/>
          </w:tcPr>
          <w:p w14:paraId="28311E18">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物资名称</w:t>
            </w:r>
          </w:p>
        </w:tc>
        <w:tc>
          <w:tcPr>
            <w:tcW w:w="1958" w:type="dxa"/>
            <w:vAlign w:val="center"/>
          </w:tcPr>
          <w:p w14:paraId="7F5C405A">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主要技术要求</w:t>
            </w:r>
          </w:p>
        </w:tc>
        <w:tc>
          <w:tcPr>
            <w:tcW w:w="515" w:type="dxa"/>
            <w:vAlign w:val="center"/>
          </w:tcPr>
          <w:p w14:paraId="111DC166">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单位</w:t>
            </w:r>
          </w:p>
        </w:tc>
        <w:tc>
          <w:tcPr>
            <w:tcW w:w="698" w:type="dxa"/>
            <w:vAlign w:val="center"/>
          </w:tcPr>
          <w:p w14:paraId="3D910D8B">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预估数量</w:t>
            </w:r>
          </w:p>
        </w:tc>
        <w:tc>
          <w:tcPr>
            <w:tcW w:w="0" w:type="auto"/>
            <w:vAlign w:val="center"/>
          </w:tcPr>
          <w:p w14:paraId="00C15CC6">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交货</w:t>
            </w:r>
          </w:p>
          <w:p w14:paraId="1510D227">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日期</w:t>
            </w:r>
          </w:p>
        </w:tc>
        <w:tc>
          <w:tcPr>
            <w:tcW w:w="0" w:type="auto"/>
            <w:vAlign w:val="center"/>
          </w:tcPr>
          <w:p w14:paraId="415ADAD1">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质保期</w:t>
            </w:r>
          </w:p>
        </w:tc>
        <w:tc>
          <w:tcPr>
            <w:tcW w:w="0" w:type="auto"/>
            <w:vAlign w:val="center"/>
          </w:tcPr>
          <w:p w14:paraId="55894F31">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交货地点</w:t>
            </w:r>
          </w:p>
        </w:tc>
        <w:tc>
          <w:tcPr>
            <w:tcW w:w="2629" w:type="dxa"/>
            <w:shd w:val="clear" w:color="auto" w:fill="auto"/>
            <w:vAlign w:val="center"/>
          </w:tcPr>
          <w:p w14:paraId="69A59E08">
            <w:pPr>
              <w:widowControl/>
              <w:shd w:val="clear"/>
              <w:jc w:val="center"/>
              <w:rPr>
                <w:rFonts w:hint="eastAsia" w:ascii="仿宋" w:hAnsi="仿宋" w:eastAsia="仿宋" w:cs="仿宋"/>
                <w:b/>
                <w:bCs/>
                <w:color w:val="000000" w:themeColor="text1"/>
                <w:kern w:val="0"/>
                <w:sz w:val="22"/>
                <w:szCs w:val="22"/>
                <w:highlight w:val="none"/>
                <w:lang w:val="en-US" w:eastAsia="en-US" w:bidi="en-US"/>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3283" w:type="dxa"/>
            <w:shd w:val="clear" w:color="auto" w:fill="auto"/>
            <w:vAlign w:val="center"/>
          </w:tcPr>
          <w:p w14:paraId="17EFB429">
            <w:pPr>
              <w:widowControl/>
              <w:shd w:val="clear"/>
              <w:jc w:val="center"/>
              <w:rPr>
                <w:rFonts w:hint="eastAsia" w:ascii="仿宋" w:hAnsi="仿宋" w:eastAsia="仿宋" w:cs="仿宋"/>
                <w:b/>
                <w:bCs/>
                <w:color w:val="000000" w:themeColor="text1"/>
                <w:kern w:val="0"/>
                <w:sz w:val="22"/>
                <w:szCs w:val="22"/>
                <w:highlight w:val="none"/>
                <w:lang w:val="en-US" w:eastAsia="en-US" w:bidi="en-US"/>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207" w:type="dxa"/>
            <w:shd w:val="clear" w:color="auto" w:fill="auto"/>
            <w:vAlign w:val="center"/>
          </w:tcPr>
          <w:p w14:paraId="5EB6820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F3851D8">
            <w:pPr>
              <w:widowControl/>
              <w:shd w:val="clear"/>
              <w:jc w:val="center"/>
              <w:rPr>
                <w:rFonts w:hint="eastAsia" w:ascii="仿宋" w:hAnsi="仿宋" w:eastAsia="仿宋" w:cs="仿宋"/>
                <w:b/>
                <w:bCs/>
                <w:color w:val="000000" w:themeColor="text1"/>
                <w:kern w:val="0"/>
                <w:sz w:val="22"/>
                <w:szCs w:val="22"/>
                <w:highlight w:val="none"/>
                <w:lang w:val="en-US" w:eastAsia="en-US" w:bidi="en-US"/>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3093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0" w:type="auto"/>
            <w:vMerge w:val="restart"/>
            <w:vAlign w:val="center"/>
          </w:tcPr>
          <w:p w14:paraId="69A6DBF7">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主站信息接入配件采购项目（包一）</w:t>
            </w:r>
          </w:p>
        </w:tc>
        <w:tc>
          <w:tcPr>
            <w:tcW w:w="0" w:type="auto"/>
            <w:vAlign w:val="center"/>
          </w:tcPr>
          <w:p w14:paraId="415175F0">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主站防误模块</w:t>
            </w:r>
          </w:p>
        </w:tc>
        <w:tc>
          <w:tcPr>
            <w:tcW w:w="1958" w:type="dxa"/>
            <w:vAlign w:val="center"/>
          </w:tcPr>
          <w:p w14:paraId="6D263E8B">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w:t>
            </w:r>
            <w:r>
              <w:rPr>
                <w:rFonts w:ascii="仿宋" w:hAnsi="仿宋" w:eastAsia="仿宋"/>
                <w:sz w:val="22"/>
                <w:szCs w:val="22"/>
                <w:highlight w:val="none"/>
              </w:rPr>
              <w:t>基础校核、操作票闭锁、拓扑防误、信号闭锁、逻辑规则闭锁、调用站端防误6种，根据实际需求灵活配置防误措施</w:t>
            </w:r>
          </w:p>
        </w:tc>
        <w:tc>
          <w:tcPr>
            <w:tcW w:w="515" w:type="dxa"/>
            <w:vAlign w:val="center"/>
          </w:tcPr>
          <w:p w14:paraId="6F3A49D6">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2A2F93F3">
            <w:pPr>
              <w:widowControl/>
              <w:spacing w:line="360" w:lineRule="auto"/>
              <w:ind w:firstLine="0" w:firstLineChars="0"/>
              <w:jc w:val="center"/>
              <w:textAlignment w:val="bottom"/>
              <w:rPr>
                <w:rFonts w:hint="eastAsia" w:ascii="仿宋" w:hAnsi="仿宋" w:eastAsia="仿宋"/>
                <w:sz w:val="22"/>
                <w:szCs w:val="22"/>
                <w:highlight w:val="none"/>
              </w:rPr>
            </w:pPr>
            <w:r>
              <w:rPr>
                <w:rFonts w:hint="eastAsia" w:ascii="仿宋" w:hAnsi="仿宋" w:eastAsia="仿宋" w:cs="宋体"/>
                <w:color w:val="000000"/>
                <w:kern w:val="0"/>
                <w:sz w:val="22"/>
                <w:szCs w:val="22"/>
                <w:highlight w:val="none"/>
                <w:lang w:bidi="ar"/>
              </w:rPr>
              <w:t>84</w:t>
            </w:r>
          </w:p>
        </w:tc>
        <w:tc>
          <w:tcPr>
            <w:tcW w:w="0" w:type="auto"/>
            <w:vMerge w:val="restart"/>
            <w:vAlign w:val="center"/>
          </w:tcPr>
          <w:p w14:paraId="7E4B98D5">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合同签订后后15日内</w:t>
            </w:r>
          </w:p>
        </w:tc>
        <w:tc>
          <w:tcPr>
            <w:tcW w:w="0" w:type="auto"/>
            <w:vMerge w:val="restart"/>
            <w:vAlign w:val="center"/>
          </w:tcPr>
          <w:p w14:paraId="35330F20">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投运后3年</w:t>
            </w:r>
          </w:p>
          <w:p w14:paraId="02D82043">
            <w:pPr>
              <w:spacing w:line="360" w:lineRule="auto"/>
              <w:ind w:firstLine="0" w:firstLineChars="0"/>
              <w:rPr>
                <w:rFonts w:hint="eastAsia" w:ascii="仿宋" w:hAnsi="仿宋" w:eastAsia="仿宋"/>
                <w:sz w:val="22"/>
                <w:szCs w:val="22"/>
                <w:highlight w:val="none"/>
              </w:rPr>
            </w:pPr>
          </w:p>
        </w:tc>
        <w:tc>
          <w:tcPr>
            <w:tcW w:w="0" w:type="auto"/>
            <w:vMerge w:val="restart"/>
            <w:vAlign w:val="center"/>
          </w:tcPr>
          <w:p w14:paraId="385A5174">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2629" w:type="dxa"/>
            <w:vMerge w:val="restart"/>
            <w:shd w:val="clear" w:color="auto" w:fill="auto"/>
            <w:vAlign w:val="center"/>
          </w:tcPr>
          <w:p w14:paraId="7C49676B">
            <w:pPr>
              <w:spacing w:line="360" w:lineRule="auto"/>
              <w:ind w:firstLine="0" w:firstLineChars="0"/>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1.</w:t>
            </w:r>
            <w:r>
              <w:rPr>
                <w:rFonts w:hint="eastAsia" w:ascii="仿宋" w:hAnsi="仿宋" w:eastAsia="仿宋"/>
                <w:sz w:val="22"/>
                <w:szCs w:val="22"/>
                <w:highlight w:val="none"/>
              </w:rPr>
              <w:t>厂商要求</w:t>
            </w:r>
            <w:r>
              <w:rPr>
                <w:rFonts w:hint="eastAsia" w:ascii="仿宋" w:hAnsi="仿宋" w:eastAsia="仿宋"/>
                <w:sz w:val="22"/>
                <w:szCs w:val="22"/>
                <w:highlight w:val="none"/>
                <w:lang w:eastAsia="zh-CN"/>
              </w:rPr>
              <w:t>：</w:t>
            </w:r>
            <w:r>
              <w:rPr>
                <w:rFonts w:hint="eastAsia" w:ascii="仿宋" w:hAnsi="仿宋" w:eastAsia="仿宋"/>
                <w:sz w:val="22"/>
                <w:szCs w:val="22"/>
                <w:highlight w:val="none"/>
              </w:rPr>
              <w:t>制造商</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rPr>
              <w:t>产品型式试验报告或检测报告或鉴定报告</w:t>
            </w:r>
            <w:r>
              <w:rPr>
                <w:rFonts w:hint="eastAsia" w:ascii="仿宋" w:hAnsi="仿宋" w:eastAsia="仿宋"/>
                <w:sz w:val="22"/>
                <w:szCs w:val="22"/>
                <w:highlight w:val="none"/>
                <w:lang w:eastAsia="zh-CN"/>
              </w:rPr>
              <w:t>：</w:t>
            </w:r>
            <w:r>
              <w:rPr>
                <w:rFonts w:hint="eastAsia" w:ascii="仿宋" w:hAnsi="仿宋" w:eastAsia="仿宋"/>
                <w:sz w:val="22"/>
                <w:szCs w:val="22"/>
                <w:highlight w:val="none"/>
              </w:rPr>
              <w:t>提供与招标产品功能类似的国家认可的第三方权威机构出具的检测报告。（新一代集控站）</w:t>
            </w:r>
          </w:p>
        </w:tc>
        <w:tc>
          <w:tcPr>
            <w:tcW w:w="3283" w:type="dxa"/>
            <w:vMerge w:val="restart"/>
            <w:shd w:val="clear" w:color="auto" w:fill="auto"/>
            <w:vAlign w:val="center"/>
          </w:tcPr>
          <w:p w14:paraId="16A59708">
            <w:pPr>
              <w:spacing w:line="360" w:lineRule="auto"/>
              <w:ind w:firstLine="0" w:firstLineChars="0"/>
              <w:rPr>
                <w:rFonts w:hint="eastAsia" w:ascii="仿宋" w:hAnsi="仿宋" w:eastAsia="仿宋" w:cstheme="majorBidi"/>
                <w:sz w:val="22"/>
                <w:szCs w:val="22"/>
                <w:highlight w:val="none"/>
                <w:lang w:val="en-US" w:eastAsia="zh-CN" w:bidi="en-US"/>
              </w:rPr>
            </w:pPr>
            <w:r>
              <w:rPr>
                <w:rFonts w:hint="eastAsia" w:ascii="仿宋" w:hAnsi="仿宋" w:eastAsia="仿宋"/>
                <w:sz w:val="22"/>
                <w:szCs w:val="22"/>
                <w:highlight w:val="none"/>
                <w:lang w:val="en-US" w:eastAsia="zh-CN"/>
              </w:rPr>
              <w:t>1.</w:t>
            </w:r>
            <w:r>
              <w:rPr>
                <w:rFonts w:hint="eastAsia" w:ascii="仿宋" w:hAnsi="仿宋" w:eastAsia="仿宋"/>
                <w:sz w:val="22"/>
                <w:szCs w:val="22"/>
                <w:highlight w:val="none"/>
              </w:rPr>
              <w:t>业绩要求</w:t>
            </w:r>
            <w:r>
              <w:rPr>
                <w:rFonts w:hint="eastAsia" w:ascii="仿宋" w:hAnsi="仿宋" w:eastAsia="仿宋"/>
                <w:sz w:val="22"/>
                <w:szCs w:val="22"/>
                <w:highlight w:val="none"/>
                <w:lang w:eastAsia="zh-CN"/>
              </w:rPr>
              <w:t>：</w:t>
            </w:r>
          </w:p>
          <w:p w14:paraId="59A67A56">
            <w:pPr>
              <w:spacing w:line="360" w:lineRule="auto"/>
              <w:ind w:firstLine="0" w:firstLineChars="0"/>
              <w:rPr>
                <w:rFonts w:hint="eastAsia" w:ascii="仿宋" w:hAnsi="仿宋" w:eastAsia="仿宋"/>
                <w:sz w:val="22"/>
                <w:szCs w:val="22"/>
                <w:highlight w:val="none"/>
              </w:rPr>
            </w:pPr>
            <w:r>
              <w:rPr>
                <w:rFonts w:hint="eastAsia" w:ascii="仿宋" w:hAnsi="仿宋" w:eastAsia="仿宋" w:cs="仿宋"/>
                <w:sz w:val="22"/>
                <w:szCs w:val="22"/>
                <w:highlight w:val="none"/>
              </w:rPr>
              <w:t>2023年1月1日至采购公告发布日内，具有集控站产品业绩不少于100万。</w:t>
            </w:r>
            <w:r>
              <w:rPr>
                <w:rFonts w:hint="eastAsia" w:ascii="仿宋" w:hAnsi="仿宋" w:eastAsia="仿宋"/>
                <w:sz w:val="22"/>
                <w:szCs w:val="22"/>
                <w:highlight w:val="none"/>
              </w:rPr>
              <w:t>（时间以合同签订日期为准，须提供用户合同封面、金额页、合同签字盖章页复印件、证明合同内容的合同页；发票复印件；发票查验截图）。</w:t>
            </w:r>
          </w:p>
        </w:tc>
        <w:tc>
          <w:tcPr>
            <w:tcW w:w="1207" w:type="dxa"/>
            <w:vMerge w:val="restart"/>
            <w:vAlign w:val="center"/>
          </w:tcPr>
          <w:p w14:paraId="306D3505">
            <w:pPr>
              <w:spacing w:line="360" w:lineRule="auto"/>
              <w:ind w:firstLine="0" w:firstLineChars="0"/>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1.6</w:t>
            </w:r>
          </w:p>
        </w:tc>
      </w:tr>
      <w:tr w14:paraId="2244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0" w:type="auto"/>
            <w:vMerge w:val="continue"/>
            <w:vAlign w:val="center"/>
          </w:tcPr>
          <w:p w14:paraId="4C985A04">
            <w:pPr>
              <w:spacing w:line="360" w:lineRule="auto"/>
              <w:ind w:firstLine="0" w:firstLineChars="0"/>
              <w:rPr>
                <w:rFonts w:hint="eastAsia" w:ascii="仿宋" w:hAnsi="仿宋" w:eastAsia="仿宋"/>
                <w:sz w:val="22"/>
                <w:szCs w:val="22"/>
                <w:highlight w:val="none"/>
              </w:rPr>
            </w:pPr>
          </w:p>
        </w:tc>
        <w:tc>
          <w:tcPr>
            <w:tcW w:w="0" w:type="auto"/>
            <w:vAlign w:val="center"/>
          </w:tcPr>
          <w:p w14:paraId="0BC21F9A">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集控系统AVC模块</w:t>
            </w:r>
          </w:p>
        </w:tc>
        <w:tc>
          <w:tcPr>
            <w:tcW w:w="1958" w:type="dxa"/>
            <w:vAlign w:val="center"/>
          </w:tcPr>
          <w:p w14:paraId="314309BF">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具备</w:t>
            </w:r>
            <w:r>
              <w:rPr>
                <w:rFonts w:hint="eastAsia" w:ascii="仿宋" w:hAnsi="仿宋" w:eastAsia="仿宋"/>
                <w:sz w:val="22"/>
                <w:szCs w:val="22"/>
                <w:highlight w:val="none"/>
              </w:rPr>
              <w:t>实时</w:t>
            </w:r>
            <w:r>
              <w:rPr>
                <w:rFonts w:hint="eastAsia" w:ascii="仿宋" w:hAnsi="仿宋" w:eastAsia="仿宋"/>
                <w:sz w:val="22"/>
                <w:szCs w:val="22"/>
                <w:highlight w:val="none"/>
                <w:lang w:eastAsia="zh"/>
              </w:rPr>
              <w:t>判断集控或省地调控系统中AVC设备监控状态并进行交互</w:t>
            </w:r>
          </w:p>
        </w:tc>
        <w:tc>
          <w:tcPr>
            <w:tcW w:w="515" w:type="dxa"/>
            <w:vAlign w:val="center"/>
          </w:tcPr>
          <w:p w14:paraId="73D9C411">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0443BEA9">
            <w:pPr>
              <w:widowControl/>
              <w:spacing w:line="360" w:lineRule="auto"/>
              <w:ind w:firstLine="0" w:firstLineChars="0"/>
              <w:jc w:val="center"/>
              <w:textAlignment w:val="bottom"/>
              <w:rPr>
                <w:rFonts w:hint="eastAsia" w:ascii="仿宋" w:hAnsi="仿宋" w:eastAsia="仿宋"/>
                <w:sz w:val="22"/>
                <w:szCs w:val="22"/>
                <w:highlight w:val="none"/>
              </w:rPr>
            </w:pPr>
            <w:r>
              <w:rPr>
                <w:rFonts w:hint="eastAsia" w:ascii="仿宋" w:hAnsi="仿宋" w:eastAsia="仿宋" w:cs="宋体"/>
                <w:color w:val="000000"/>
                <w:kern w:val="0"/>
                <w:sz w:val="22"/>
                <w:szCs w:val="22"/>
                <w:highlight w:val="none"/>
                <w:lang w:bidi="ar"/>
              </w:rPr>
              <w:t>56</w:t>
            </w:r>
          </w:p>
        </w:tc>
        <w:tc>
          <w:tcPr>
            <w:tcW w:w="0" w:type="auto"/>
            <w:vMerge w:val="continue"/>
            <w:vAlign w:val="center"/>
          </w:tcPr>
          <w:p w14:paraId="35F5FDE3">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3919B28D">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29E390D5">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1764DA9C">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20F667F4">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2979A446">
            <w:pPr>
              <w:spacing w:line="360" w:lineRule="auto"/>
              <w:ind w:firstLine="0" w:firstLineChars="0"/>
              <w:rPr>
                <w:rFonts w:hint="eastAsia" w:ascii="仿宋" w:hAnsi="仿宋" w:eastAsia="仿宋"/>
                <w:sz w:val="22"/>
                <w:szCs w:val="22"/>
                <w:highlight w:val="none"/>
              </w:rPr>
            </w:pPr>
          </w:p>
        </w:tc>
      </w:tr>
      <w:tr w14:paraId="24F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0" w:type="auto"/>
            <w:vMerge w:val="continue"/>
            <w:vAlign w:val="center"/>
          </w:tcPr>
          <w:p w14:paraId="731A47F4">
            <w:pPr>
              <w:spacing w:line="360" w:lineRule="auto"/>
              <w:ind w:firstLine="0" w:firstLineChars="0"/>
              <w:rPr>
                <w:rFonts w:hint="eastAsia" w:ascii="仿宋" w:hAnsi="仿宋" w:eastAsia="仿宋"/>
                <w:sz w:val="22"/>
                <w:szCs w:val="22"/>
                <w:highlight w:val="none"/>
              </w:rPr>
            </w:pPr>
          </w:p>
        </w:tc>
        <w:tc>
          <w:tcPr>
            <w:tcW w:w="0" w:type="auto"/>
            <w:vAlign w:val="center"/>
          </w:tcPr>
          <w:p w14:paraId="52475E2A">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一键顺控模块</w:t>
            </w:r>
          </w:p>
        </w:tc>
        <w:tc>
          <w:tcPr>
            <w:tcW w:w="1958" w:type="dxa"/>
            <w:vAlign w:val="center"/>
          </w:tcPr>
          <w:p w14:paraId="16F45B49">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w:t>
            </w:r>
            <w:r>
              <w:rPr>
                <w:rFonts w:hint="eastAsia" w:ascii="仿宋" w:hAnsi="仿宋" w:eastAsia="仿宋"/>
                <w:sz w:val="22"/>
                <w:szCs w:val="22"/>
                <w:highlight w:val="none"/>
              </w:rPr>
              <w:t>按照倒闸操作逻辑顺序调用线路两端变电站间隔的顺控票</w:t>
            </w:r>
            <w:r>
              <w:rPr>
                <w:rFonts w:hint="eastAsia" w:ascii="仿宋" w:hAnsi="仿宋" w:eastAsia="仿宋"/>
                <w:sz w:val="22"/>
                <w:szCs w:val="22"/>
                <w:highlight w:val="none"/>
                <w:lang w:eastAsia="zh"/>
              </w:rPr>
              <w:t>；支持</w:t>
            </w:r>
            <w:r>
              <w:rPr>
                <w:rFonts w:ascii="仿宋" w:hAnsi="仿宋" w:eastAsia="仿宋"/>
                <w:sz w:val="22"/>
                <w:szCs w:val="22"/>
                <w:highlight w:val="none"/>
              </w:rPr>
              <w:t>多状态、多任务灵活操作组票</w:t>
            </w:r>
          </w:p>
        </w:tc>
        <w:tc>
          <w:tcPr>
            <w:tcW w:w="515" w:type="dxa"/>
            <w:vAlign w:val="center"/>
          </w:tcPr>
          <w:p w14:paraId="375EB3D2">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472550E3">
            <w:pPr>
              <w:widowControl/>
              <w:spacing w:line="360" w:lineRule="auto"/>
              <w:ind w:firstLine="0" w:firstLineChars="0"/>
              <w:jc w:val="center"/>
              <w:textAlignment w:val="bottom"/>
              <w:rPr>
                <w:rFonts w:hint="eastAsia" w:ascii="仿宋" w:hAnsi="仿宋" w:eastAsia="仿宋"/>
                <w:sz w:val="22"/>
                <w:szCs w:val="22"/>
                <w:highlight w:val="none"/>
              </w:rPr>
            </w:pPr>
            <w:r>
              <w:rPr>
                <w:rFonts w:hint="eastAsia" w:ascii="仿宋" w:hAnsi="仿宋" w:eastAsia="仿宋" w:cs="宋体"/>
                <w:color w:val="000000"/>
                <w:kern w:val="0"/>
                <w:sz w:val="22"/>
                <w:szCs w:val="22"/>
                <w:highlight w:val="none"/>
                <w:lang w:bidi="ar"/>
              </w:rPr>
              <w:t>35</w:t>
            </w:r>
          </w:p>
        </w:tc>
        <w:tc>
          <w:tcPr>
            <w:tcW w:w="0" w:type="auto"/>
            <w:vMerge w:val="continue"/>
            <w:vAlign w:val="center"/>
          </w:tcPr>
          <w:p w14:paraId="7D9CE6E2">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075264D1">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7EF24B03">
            <w:pPr>
              <w:spacing w:line="360" w:lineRule="auto"/>
              <w:ind w:firstLine="0" w:firstLineChars="0"/>
              <w:rPr>
                <w:rFonts w:hint="eastAsia" w:ascii="仿宋" w:hAnsi="仿宋" w:eastAsia="仿宋"/>
                <w:sz w:val="22"/>
                <w:szCs w:val="22"/>
                <w:highlight w:val="none"/>
              </w:rPr>
            </w:pPr>
          </w:p>
        </w:tc>
        <w:tc>
          <w:tcPr>
            <w:tcW w:w="2629" w:type="dxa"/>
            <w:vMerge w:val="continue"/>
            <w:shd w:val="clear" w:color="000000" w:fill="FFFFFF"/>
            <w:vAlign w:val="center"/>
          </w:tcPr>
          <w:p w14:paraId="043764A3">
            <w:pPr>
              <w:spacing w:line="360" w:lineRule="auto"/>
              <w:ind w:firstLine="0" w:firstLineChars="0"/>
              <w:rPr>
                <w:rFonts w:hint="eastAsia" w:ascii="仿宋" w:hAnsi="仿宋" w:eastAsia="仿宋" w:cs="宋体"/>
                <w:kern w:val="0"/>
                <w:sz w:val="22"/>
                <w:szCs w:val="22"/>
                <w:highlight w:val="none"/>
                <w:lang w:val="en-US" w:eastAsia="en-US" w:bidi="en-US"/>
              </w:rPr>
            </w:pPr>
          </w:p>
        </w:tc>
        <w:tc>
          <w:tcPr>
            <w:tcW w:w="3283" w:type="dxa"/>
            <w:vMerge w:val="continue"/>
            <w:shd w:val="clear" w:color="auto" w:fill="auto"/>
            <w:vAlign w:val="center"/>
          </w:tcPr>
          <w:p w14:paraId="7D95051E">
            <w:pPr>
              <w:spacing w:line="360" w:lineRule="auto"/>
              <w:ind w:firstLine="0" w:firstLineChars="0"/>
              <w:rPr>
                <w:rFonts w:hint="eastAsia" w:ascii="仿宋" w:hAnsi="仿宋" w:eastAsia="仿宋" w:cstheme="majorBidi"/>
                <w:color w:val="000000"/>
                <w:sz w:val="22"/>
                <w:szCs w:val="22"/>
                <w:highlight w:val="none"/>
                <w:lang w:val="en-US" w:eastAsia="en-US" w:bidi="en-US"/>
              </w:rPr>
            </w:pPr>
          </w:p>
        </w:tc>
        <w:tc>
          <w:tcPr>
            <w:tcW w:w="1207" w:type="dxa"/>
            <w:vMerge w:val="continue"/>
            <w:vAlign w:val="center"/>
          </w:tcPr>
          <w:p w14:paraId="24C1B510">
            <w:pPr>
              <w:spacing w:line="360" w:lineRule="auto"/>
              <w:ind w:firstLine="0" w:firstLineChars="0"/>
              <w:rPr>
                <w:rFonts w:hint="eastAsia" w:ascii="仿宋" w:hAnsi="仿宋" w:eastAsia="仿宋"/>
                <w:sz w:val="22"/>
                <w:szCs w:val="22"/>
                <w:highlight w:val="none"/>
              </w:rPr>
            </w:pPr>
          </w:p>
        </w:tc>
      </w:tr>
      <w:tr w14:paraId="4CA7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0" w:type="auto"/>
            <w:vMerge w:val="continue"/>
            <w:vAlign w:val="center"/>
          </w:tcPr>
          <w:p w14:paraId="70275EE3">
            <w:pPr>
              <w:spacing w:line="360" w:lineRule="auto"/>
              <w:ind w:firstLine="0" w:firstLineChars="0"/>
              <w:rPr>
                <w:rFonts w:hint="eastAsia" w:ascii="仿宋" w:hAnsi="仿宋" w:eastAsia="仿宋"/>
                <w:sz w:val="22"/>
                <w:szCs w:val="22"/>
                <w:highlight w:val="none"/>
              </w:rPr>
            </w:pPr>
          </w:p>
        </w:tc>
        <w:tc>
          <w:tcPr>
            <w:tcW w:w="0" w:type="auto"/>
            <w:vAlign w:val="center"/>
          </w:tcPr>
          <w:p w14:paraId="31700B6C">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主变近区短路故障研判模块</w:t>
            </w:r>
          </w:p>
        </w:tc>
        <w:tc>
          <w:tcPr>
            <w:tcW w:w="1958" w:type="dxa"/>
            <w:vAlign w:val="center"/>
          </w:tcPr>
          <w:p w14:paraId="327309DF">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w:t>
            </w:r>
            <w:r>
              <w:rPr>
                <w:rFonts w:ascii="仿宋" w:hAnsi="仿宋" w:eastAsia="仿宋"/>
                <w:sz w:val="22"/>
                <w:szCs w:val="22"/>
                <w:highlight w:val="none"/>
              </w:rPr>
              <w:t>变压器近区短路故障自动判断</w:t>
            </w:r>
          </w:p>
          <w:p w14:paraId="024E8F79">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支持与指定设备联合判断生成</w:t>
            </w:r>
            <w:r>
              <w:rPr>
                <w:rFonts w:ascii="仿宋" w:hAnsi="仿宋" w:eastAsia="仿宋"/>
                <w:sz w:val="22"/>
                <w:szCs w:val="22"/>
                <w:highlight w:val="none"/>
              </w:rPr>
              <w:t>事件化告警</w:t>
            </w:r>
          </w:p>
        </w:tc>
        <w:tc>
          <w:tcPr>
            <w:tcW w:w="515" w:type="dxa"/>
            <w:vAlign w:val="center"/>
          </w:tcPr>
          <w:p w14:paraId="1AE2D82C">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0B8BC0D8">
            <w:pPr>
              <w:widowControl/>
              <w:spacing w:line="360" w:lineRule="auto"/>
              <w:ind w:firstLine="0" w:firstLineChars="0"/>
              <w:jc w:val="center"/>
              <w:textAlignment w:val="bottom"/>
              <w:rPr>
                <w:rFonts w:hint="eastAsia" w:ascii="仿宋" w:hAnsi="仿宋" w:eastAsia="仿宋"/>
                <w:sz w:val="22"/>
                <w:szCs w:val="22"/>
                <w:highlight w:val="none"/>
              </w:rPr>
            </w:pPr>
            <w:r>
              <w:rPr>
                <w:rFonts w:hint="eastAsia" w:ascii="仿宋" w:hAnsi="仿宋" w:eastAsia="仿宋" w:cs="宋体"/>
                <w:color w:val="000000"/>
                <w:kern w:val="0"/>
                <w:sz w:val="22"/>
                <w:szCs w:val="22"/>
                <w:highlight w:val="none"/>
                <w:lang w:bidi="ar"/>
              </w:rPr>
              <w:t>35</w:t>
            </w:r>
          </w:p>
        </w:tc>
        <w:tc>
          <w:tcPr>
            <w:tcW w:w="0" w:type="auto"/>
            <w:vMerge w:val="continue"/>
            <w:vAlign w:val="center"/>
          </w:tcPr>
          <w:p w14:paraId="0B71D312">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28BB20A6">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2DE0423E">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6F33279C">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3069934B">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43C81706">
            <w:pPr>
              <w:spacing w:line="360" w:lineRule="auto"/>
              <w:ind w:firstLine="0" w:firstLineChars="0"/>
              <w:rPr>
                <w:rFonts w:hint="eastAsia" w:ascii="仿宋" w:hAnsi="仿宋" w:eastAsia="仿宋"/>
                <w:sz w:val="22"/>
                <w:szCs w:val="22"/>
                <w:highlight w:val="none"/>
              </w:rPr>
            </w:pPr>
          </w:p>
        </w:tc>
      </w:tr>
      <w:tr w14:paraId="781B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0" w:type="auto"/>
            <w:vMerge w:val="continue"/>
            <w:vAlign w:val="center"/>
          </w:tcPr>
          <w:p w14:paraId="0E65B1CE">
            <w:pPr>
              <w:spacing w:line="360" w:lineRule="auto"/>
              <w:ind w:firstLine="0" w:firstLineChars="0"/>
              <w:rPr>
                <w:rFonts w:hint="eastAsia" w:ascii="仿宋" w:hAnsi="仿宋" w:eastAsia="仿宋"/>
                <w:sz w:val="22"/>
                <w:szCs w:val="22"/>
                <w:highlight w:val="none"/>
              </w:rPr>
            </w:pPr>
          </w:p>
        </w:tc>
        <w:tc>
          <w:tcPr>
            <w:tcW w:w="0" w:type="auto"/>
            <w:vAlign w:val="center"/>
          </w:tcPr>
          <w:p w14:paraId="6E62F5A3">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预警</w:t>
            </w:r>
            <w:r>
              <w:rPr>
                <w:rFonts w:hint="eastAsia" w:ascii="仿宋" w:hAnsi="仿宋" w:eastAsia="仿宋"/>
                <w:sz w:val="22"/>
                <w:szCs w:val="22"/>
                <w:highlight w:val="none"/>
                <w:lang w:eastAsia="zh"/>
              </w:rPr>
              <w:t>监视模块</w:t>
            </w:r>
          </w:p>
        </w:tc>
        <w:tc>
          <w:tcPr>
            <w:tcW w:w="1958" w:type="dxa"/>
            <w:vAlign w:val="center"/>
          </w:tcPr>
          <w:p w14:paraId="65766B31">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支持变电站消防、安防、动环等辅控设备实时监视，具备主辅联动、辅辅联动功能 辅助设备事件化告警功能</w:t>
            </w:r>
          </w:p>
        </w:tc>
        <w:tc>
          <w:tcPr>
            <w:tcW w:w="515" w:type="dxa"/>
            <w:vAlign w:val="center"/>
          </w:tcPr>
          <w:p w14:paraId="0AFB361C">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62577496">
            <w:pPr>
              <w:widowControl/>
              <w:spacing w:line="360" w:lineRule="auto"/>
              <w:ind w:firstLine="0" w:firstLineChars="0"/>
              <w:jc w:val="center"/>
              <w:textAlignment w:val="bottom"/>
              <w:rPr>
                <w:rFonts w:hint="eastAsia" w:ascii="仿宋" w:hAnsi="仿宋" w:eastAsia="仿宋"/>
                <w:sz w:val="22"/>
                <w:szCs w:val="22"/>
                <w:highlight w:val="none"/>
              </w:rPr>
            </w:pPr>
            <w:r>
              <w:rPr>
                <w:rFonts w:hint="eastAsia" w:ascii="仿宋" w:hAnsi="仿宋" w:eastAsia="仿宋" w:cs="宋体"/>
                <w:color w:val="000000"/>
                <w:kern w:val="0"/>
                <w:sz w:val="22"/>
                <w:szCs w:val="22"/>
                <w:highlight w:val="none"/>
                <w:lang w:bidi="ar"/>
              </w:rPr>
              <w:t>48</w:t>
            </w:r>
          </w:p>
        </w:tc>
        <w:tc>
          <w:tcPr>
            <w:tcW w:w="0" w:type="auto"/>
            <w:vMerge w:val="continue"/>
            <w:vAlign w:val="center"/>
          </w:tcPr>
          <w:p w14:paraId="502082F8">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0A4D5431">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53A38516">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2A131359">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092EDC59">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5262A489">
            <w:pPr>
              <w:spacing w:line="360" w:lineRule="auto"/>
              <w:ind w:firstLine="0" w:firstLineChars="0"/>
              <w:rPr>
                <w:rFonts w:hint="eastAsia" w:ascii="仿宋" w:hAnsi="仿宋" w:eastAsia="仿宋"/>
                <w:sz w:val="22"/>
                <w:szCs w:val="22"/>
                <w:highlight w:val="none"/>
              </w:rPr>
            </w:pPr>
          </w:p>
        </w:tc>
      </w:tr>
      <w:tr w14:paraId="7934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0" w:type="auto"/>
            <w:vMerge w:val="restart"/>
            <w:vAlign w:val="center"/>
          </w:tcPr>
          <w:p w14:paraId="7598357D">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主站信息接入配件采购项目（包二）</w:t>
            </w:r>
          </w:p>
        </w:tc>
        <w:tc>
          <w:tcPr>
            <w:tcW w:w="0" w:type="auto"/>
            <w:vAlign w:val="center"/>
          </w:tcPr>
          <w:p w14:paraId="6B48E469">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主站防误模块</w:t>
            </w:r>
          </w:p>
        </w:tc>
        <w:tc>
          <w:tcPr>
            <w:tcW w:w="1958" w:type="dxa"/>
            <w:vAlign w:val="center"/>
          </w:tcPr>
          <w:p w14:paraId="666F6E7A">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w:t>
            </w:r>
            <w:r>
              <w:rPr>
                <w:rFonts w:ascii="仿宋" w:hAnsi="仿宋" w:eastAsia="仿宋"/>
                <w:sz w:val="22"/>
                <w:szCs w:val="22"/>
                <w:highlight w:val="none"/>
              </w:rPr>
              <w:t>基础校核、操作票闭锁、拓扑防误、信号闭锁、逻辑规则闭锁、调用站端防误6种，根据实际需求灵活配置防误措施</w:t>
            </w:r>
          </w:p>
        </w:tc>
        <w:tc>
          <w:tcPr>
            <w:tcW w:w="515" w:type="dxa"/>
            <w:vAlign w:val="center"/>
          </w:tcPr>
          <w:p w14:paraId="5BEE3288">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5C15810B">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bidi="ar"/>
              </w:rPr>
              <w:t>36</w:t>
            </w:r>
          </w:p>
        </w:tc>
        <w:tc>
          <w:tcPr>
            <w:tcW w:w="0" w:type="auto"/>
            <w:vMerge w:val="restart"/>
            <w:vAlign w:val="center"/>
          </w:tcPr>
          <w:p w14:paraId="40046394">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合同签订后后15日内</w:t>
            </w:r>
          </w:p>
        </w:tc>
        <w:tc>
          <w:tcPr>
            <w:tcW w:w="0" w:type="auto"/>
            <w:vMerge w:val="restart"/>
            <w:vAlign w:val="center"/>
          </w:tcPr>
          <w:p w14:paraId="036D03C7">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投运后3年</w:t>
            </w:r>
          </w:p>
          <w:p w14:paraId="0836A910">
            <w:pPr>
              <w:spacing w:line="360" w:lineRule="auto"/>
              <w:ind w:firstLine="0" w:firstLineChars="0"/>
              <w:rPr>
                <w:rFonts w:hint="eastAsia" w:ascii="仿宋" w:hAnsi="仿宋" w:eastAsia="仿宋"/>
                <w:sz w:val="22"/>
                <w:szCs w:val="22"/>
                <w:highlight w:val="none"/>
              </w:rPr>
            </w:pPr>
          </w:p>
        </w:tc>
        <w:tc>
          <w:tcPr>
            <w:tcW w:w="0" w:type="auto"/>
            <w:vMerge w:val="restart"/>
            <w:vAlign w:val="center"/>
          </w:tcPr>
          <w:p w14:paraId="34006E08">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2629" w:type="dxa"/>
            <w:vMerge w:val="restart"/>
            <w:shd w:val="clear" w:color="auto" w:fill="auto"/>
            <w:vAlign w:val="center"/>
          </w:tcPr>
          <w:p w14:paraId="3D4CA150">
            <w:pPr>
              <w:spacing w:line="360" w:lineRule="auto"/>
              <w:ind w:firstLine="0" w:firstLineChars="0"/>
              <w:rPr>
                <w:rFonts w:hint="default" w:ascii="仿宋" w:hAnsi="仿宋" w:eastAsia="仿宋" w:cstheme="majorBidi"/>
                <w:sz w:val="22"/>
                <w:szCs w:val="22"/>
                <w:highlight w:val="none"/>
                <w:lang w:val="en-US" w:eastAsia="zh-CN" w:bidi="en-US"/>
              </w:rPr>
            </w:pPr>
            <w:r>
              <w:rPr>
                <w:rFonts w:hint="eastAsia" w:ascii="仿宋" w:hAnsi="仿宋" w:eastAsia="仿宋"/>
                <w:sz w:val="22"/>
                <w:szCs w:val="22"/>
                <w:highlight w:val="none"/>
                <w:lang w:val="en-US" w:eastAsia="zh-CN"/>
              </w:rPr>
              <w:t>1.</w:t>
            </w:r>
            <w:r>
              <w:rPr>
                <w:rFonts w:hint="eastAsia" w:ascii="仿宋" w:hAnsi="仿宋" w:eastAsia="仿宋"/>
                <w:sz w:val="22"/>
                <w:szCs w:val="22"/>
                <w:highlight w:val="none"/>
              </w:rPr>
              <w:t>厂商要求</w:t>
            </w:r>
            <w:r>
              <w:rPr>
                <w:rFonts w:hint="eastAsia" w:ascii="仿宋" w:hAnsi="仿宋" w:eastAsia="仿宋"/>
                <w:sz w:val="22"/>
                <w:szCs w:val="22"/>
                <w:highlight w:val="none"/>
                <w:lang w:eastAsia="zh-CN"/>
              </w:rPr>
              <w:t>：</w:t>
            </w:r>
            <w:r>
              <w:rPr>
                <w:rFonts w:hint="eastAsia" w:ascii="仿宋" w:hAnsi="仿宋" w:eastAsia="仿宋"/>
                <w:sz w:val="22"/>
                <w:szCs w:val="22"/>
                <w:highlight w:val="none"/>
              </w:rPr>
              <w:t>制造商</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rPr>
              <w:t>产品型式试验报告或检测报告或鉴定报告</w:t>
            </w:r>
            <w:r>
              <w:rPr>
                <w:rFonts w:hint="eastAsia" w:ascii="仿宋" w:hAnsi="仿宋" w:eastAsia="仿宋"/>
                <w:sz w:val="22"/>
                <w:szCs w:val="22"/>
                <w:highlight w:val="none"/>
                <w:lang w:eastAsia="zh-CN"/>
              </w:rPr>
              <w:t>：</w:t>
            </w:r>
            <w:r>
              <w:rPr>
                <w:rFonts w:hint="eastAsia" w:ascii="仿宋" w:hAnsi="仿宋" w:eastAsia="仿宋"/>
                <w:sz w:val="22"/>
                <w:szCs w:val="22"/>
                <w:highlight w:val="none"/>
              </w:rPr>
              <w:t>提供与招标产品功能类似的国家认可的第三方权威机构出具的检测报告。（新一代集控站）</w:t>
            </w:r>
          </w:p>
          <w:p w14:paraId="01ADEB1C">
            <w:pPr>
              <w:spacing w:line="360" w:lineRule="auto"/>
              <w:ind w:firstLine="0" w:firstLineChars="0"/>
              <w:rPr>
                <w:rFonts w:hint="eastAsia" w:ascii="仿宋" w:hAnsi="仿宋" w:eastAsia="仿宋"/>
                <w:sz w:val="22"/>
                <w:szCs w:val="22"/>
                <w:highlight w:val="none"/>
              </w:rPr>
            </w:pPr>
          </w:p>
        </w:tc>
        <w:tc>
          <w:tcPr>
            <w:tcW w:w="3283" w:type="dxa"/>
            <w:vMerge w:val="restart"/>
            <w:shd w:val="clear" w:color="auto" w:fill="auto"/>
            <w:vAlign w:val="center"/>
          </w:tcPr>
          <w:p w14:paraId="7B94E135">
            <w:pPr>
              <w:spacing w:line="360" w:lineRule="auto"/>
              <w:ind w:firstLine="0" w:firstLineChars="0"/>
              <w:rPr>
                <w:rFonts w:hint="eastAsia" w:ascii="仿宋" w:hAnsi="仿宋" w:eastAsia="仿宋" w:cstheme="majorBidi"/>
                <w:sz w:val="22"/>
                <w:szCs w:val="22"/>
                <w:highlight w:val="none"/>
                <w:lang w:val="en-US" w:eastAsia="zh-CN" w:bidi="en-US"/>
              </w:rPr>
            </w:pPr>
            <w:r>
              <w:rPr>
                <w:rFonts w:hint="eastAsia" w:ascii="仿宋" w:hAnsi="仿宋" w:eastAsia="仿宋"/>
                <w:sz w:val="22"/>
                <w:szCs w:val="22"/>
                <w:highlight w:val="none"/>
                <w:lang w:val="en-US" w:eastAsia="zh-CN"/>
              </w:rPr>
              <w:t>1.</w:t>
            </w:r>
            <w:r>
              <w:rPr>
                <w:rFonts w:hint="eastAsia" w:ascii="仿宋" w:hAnsi="仿宋" w:eastAsia="仿宋"/>
                <w:sz w:val="22"/>
                <w:szCs w:val="22"/>
                <w:highlight w:val="none"/>
              </w:rPr>
              <w:t>业绩要求</w:t>
            </w:r>
            <w:r>
              <w:rPr>
                <w:rFonts w:hint="eastAsia" w:ascii="仿宋" w:hAnsi="仿宋" w:eastAsia="仿宋"/>
                <w:sz w:val="22"/>
                <w:szCs w:val="22"/>
                <w:highlight w:val="none"/>
                <w:lang w:eastAsia="zh-CN"/>
              </w:rPr>
              <w:t>：</w:t>
            </w:r>
          </w:p>
          <w:p w14:paraId="68B35F9B">
            <w:pPr>
              <w:spacing w:line="360" w:lineRule="auto"/>
              <w:ind w:firstLine="0" w:firstLineChars="0"/>
              <w:rPr>
                <w:rFonts w:hint="eastAsia" w:ascii="仿宋" w:hAnsi="仿宋" w:eastAsia="仿宋" w:cstheme="majorBidi"/>
                <w:sz w:val="22"/>
                <w:szCs w:val="22"/>
                <w:highlight w:val="none"/>
                <w:lang w:val="en-US" w:eastAsia="en-US" w:bidi="en-US"/>
              </w:rPr>
            </w:pPr>
            <w:r>
              <w:rPr>
                <w:rFonts w:hint="eastAsia" w:ascii="仿宋" w:hAnsi="仿宋" w:eastAsia="仿宋" w:cs="仿宋"/>
                <w:sz w:val="22"/>
                <w:szCs w:val="22"/>
                <w:highlight w:val="none"/>
              </w:rPr>
              <w:t>2023年1月1日至采购公告发布日内，具有集控站产品业绩不少于100万。</w:t>
            </w:r>
            <w:r>
              <w:rPr>
                <w:rFonts w:hint="eastAsia" w:ascii="仿宋" w:hAnsi="仿宋" w:eastAsia="仿宋"/>
                <w:sz w:val="22"/>
                <w:szCs w:val="22"/>
                <w:highlight w:val="none"/>
              </w:rPr>
              <w:t>（时间以合同签订日期为准，须提供用户合同封面、金额页、合同签字盖章页复印件、证明合同内容的合同页；发票复印件；发票查验截图）。</w:t>
            </w:r>
          </w:p>
          <w:p w14:paraId="59D2D129">
            <w:pPr>
              <w:spacing w:line="360" w:lineRule="auto"/>
              <w:ind w:firstLine="0" w:firstLineChars="0"/>
              <w:rPr>
                <w:rFonts w:hint="eastAsia" w:ascii="仿宋" w:hAnsi="仿宋" w:eastAsia="仿宋"/>
                <w:sz w:val="22"/>
                <w:szCs w:val="22"/>
                <w:highlight w:val="none"/>
              </w:rPr>
            </w:pPr>
          </w:p>
        </w:tc>
        <w:tc>
          <w:tcPr>
            <w:tcW w:w="1207" w:type="dxa"/>
            <w:vMerge w:val="restart"/>
            <w:vAlign w:val="center"/>
          </w:tcPr>
          <w:p w14:paraId="4CD5EC26">
            <w:pPr>
              <w:spacing w:line="360" w:lineRule="auto"/>
              <w:ind w:firstLine="0" w:firstLineChars="0"/>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0.7</w:t>
            </w:r>
          </w:p>
        </w:tc>
      </w:tr>
      <w:tr w14:paraId="449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0" w:type="auto"/>
            <w:vMerge w:val="continue"/>
          </w:tcPr>
          <w:p w14:paraId="38FA94B4">
            <w:pPr>
              <w:spacing w:line="360" w:lineRule="auto"/>
              <w:ind w:firstLine="0" w:firstLineChars="0"/>
              <w:rPr>
                <w:rFonts w:hint="eastAsia" w:ascii="仿宋" w:hAnsi="仿宋" w:eastAsia="仿宋"/>
                <w:sz w:val="22"/>
                <w:szCs w:val="22"/>
                <w:highlight w:val="none"/>
              </w:rPr>
            </w:pPr>
          </w:p>
        </w:tc>
        <w:tc>
          <w:tcPr>
            <w:tcW w:w="0" w:type="auto"/>
            <w:vAlign w:val="center"/>
          </w:tcPr>
          <w:p w14:paraId="0027870D">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集控系统AVC模块</w:t>
            </w:r>
          </w:p>
        </w:tc>
        <w:tc>
          <w:tcPr>
            <w:tcW w:w="1958" w:type="dxa"/>
            <w:vAlign w:val="center"/>
          </w:tcPr>
          <w:p w14:paraId="0774A00B">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具备</w:t>
            </w:r>
            <w:r>
              <w:rPr>
                <w:rFonts w:hint="eastAsia" w:ascii="仿宋" w:hAnsi="仿宋" w:eastAsia="仿宋"/>
                <w:sz w:val="22"/>
                <w:szCs w:val="22"/>
                <w:highlight w:val="none"/>
              </w:rPr>
              <w:t>实时</w:t>
            </w:r>
            <w:r>
              <w:rPr>
                <w:rFonts w:hint="eastAsia" w:ascii="仿宋" w:hAnsi="仿宋" w:eastAsia="仿宋"/>
                <w:sz w:val="22"/>
                <w:szCs w:val="22"/>
                <w:highlight w:val="none"/>
                <w:lang w:eastAsia="zh"/>
              </w:rPr>
              <w:t>判断集控或省地调控系统中AVC设备监控状态并进行交互</w:t>
            </w:r>
          </w:p>
        </w:tc>
        <w:tc>
          <w:tcPr>
            <w:tcW w:w="515" w:type="dxa"/>
            <w:vAlign w:val="center"/>
          </w:tcPr>
          <w:p w14:paraId="202C80D2">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6656AA54">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bidi="ar"/>
              </w:rPr>
              <w:t>24</w:t>
            </w:r>
          </w:p>
        </w:tc>
        <w:tc>
          <w:tcPr>
            <w:tcW w:w="0" w:type="auto"/>
            <w:vMerge w:val="continue"/>
            <w:vAlign w:val="center"/>
          </w:tcPr>
          <w:p w14:paraId="25D1565C">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6AEAD08D">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4D4F95DA">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177FA9E6">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16E63838">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3FD502A9">
            <w:pPr>
              <w:spacing w:line="360" w:lineRule="auto"/>
              <w:ind w:firstLine="0" w:firstLineChars="0"/>
              <w:rPr>
                <w:rFonts w:hint="eastAsia" w:ascii="仿宋" w:hAnsi="仿宋" w:eastAsia="仿宋"/>
                <w:sz w:val="22"/>
                <w:szCs w:val="22"/>
                <w:highlight w:val="none"/>
              </w:rPr>
            </w:pPr>
          </w:p>
        </w:tc>
      </w:tr>
      <w:tr w14:paraId="3693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0" w:type="auto"/>
            <w:vMerge w:val="continue"/>
            <w:vAlign w:val="center"/>
          </w:tcPr>
          <w:p w14:paraId="5B81FC90">
            <w:pPr>
              <w:spacing w:line="360" w:lineRule="auto"/>
              <w:ind w:firstLine="0" w:firstLineChars="0"/>
              <w:rPr>
                <w:rFonts w:hint="eastAsia" w:ascii="仿宋" w:hAnsi="仿宋" w:eastAsia="仿宋"/>
                <w:sz w:val="22"/>
                <w:szCs w:val="22"/>
                <w:highlight w:val="none"/>
              </w:rPr>
            </w:pPr>
          </w:p>
        </w:tc>
        <w:tc>
          <w:tcPr>
            <w:tcW w:w="0" w:type="auto"/>
            <w:vAlign w:val="center"/>
          </w:tcPr>
          <w:p w14:paraId="24C2FA01">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一键顺控模块</w:t>
            </w:r>
          </w:p>
        </w:tc>
        <w:tc>
          <w:tcPr>
            <w:tcW w:w="1958" w:type="dxa"/>
            <w:vAlign w:val="center"/>
          </w:tcPr>
          <w:p w14:paraId="66FDC78F">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w:t>
            </w:r>
            <w:r>
              <w:rPr>
                <w:rFonts w:hint="eastAsia" w:ascii="仿宋" w:hAnsi="仿宋" w:eastAsia="仿宋"/>
                <w:sz w:val="22"/>
                <w:szCs w:val="22"/>
                <w:highlight w:val="none"/>
              </w:rPr>
              <w:t>按照倒闸操作逻辑顺序调用线路两端变电站间隔的顺控票</w:t>
            </w:r>
            <w:r>
              <w:rPr>
                <w:rFonts w:hint="eastAsia" w:ascii="仿宋" w:hAnsi="仿宋" w:eastAsia="仿宋"/>
                <w:sz w:val="22"/>
                <w:szCs w:val="22"/>
                <w:highlight w:val="none"/>
                <w:lang w:eastAsia="zh"/>
              </w:rPr>
              <w:t>；支持</w:t>
            </w:r>
            <w:r>
              <w:rPr>
                <w:rFonts w:ascii="仿宋" w:hAnsi="仿宋" w:eastAsia="仿宋"/>
                <w:sz w:val="22"/>
                <w:szCs w:val="22"/>
                <w:highlight w:val="none"/>
              </w:rPr>
              <w:t>多状态、多任务灵活操作组票</w:t>
            </w:r>
          </w:p>
        </w:tc>
        <w:tc>
          <w:tcPr>
            <w:tcW w:w="515" w:type="dxa"/>
            <w:vAlign w:val="center"/>
          </w:tcPr>
          <w:p w14:paraId="30DDB8EE">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450C3F3A">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bidi="ar"/>
              </w:rPr>
              <w:t>15</w:t>
            </w:r>
          </w:p>
        </w:tc>
        <w:tc>
          <w:tcPr>
            <w:tcW w:w="0" w:type="auto"/>
            <w:vMerge w:val="continue"/>
            <w:vAlign w:val="center"/>
          </w:tcPr>
          <w:p w14:paraId="01E279D4">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686860C0">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0754A270">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6EF98AC3">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64FDE098">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400D38B6">
            <w:pPr>
              <w:spacing w:line="360" w:lineRule="auto"/>
              <w:ind w:firstLine="0" w:firstLineChars="0"/>
              <w:rPr>
                <w:rFonts w:hint="eastAsia" w:ascii="仿宋" w:hAnsi="仿宋" w:eastAsia="仿宋"/>
                <w:sz w:val="22"/>
                <w:szCs w:val="22"/>
                <w:highlight w:val="none"/>
              </w:rPr>
            </w:pPr>
          </w:p>
        </w:tc>
      </w:tr>
      <w:tr w14:paraId="369F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0" w:type="auto"/>
            <w:vMerge w:val="continue"/>
            <w:vAlign w:val="center"/>
          </w:tcPr>
          <w:p w14:paraId="6F6104E3">
            <w:pPr>
              <w:spacing w:line="360" w:lineRule="auto"/>
              <w:ind w:firstLine="0" w:firstLineChars="0"/>
              <w:rPr>
                <w:rFonts w:hint="eastAsia" w:ascii="仿宋" w:hAnsi="仿宋" w:eastAsia="仿宋"/>
                <w:sz w:val="22"/>
                <w:szCs w:val="22"/>
                <w:highlight w:val="none"/>
              </w:rPr>
            </w:pPr>
          </w:p>
        </w:tc>
        <w:tc>
          <w:tcPr>
            <w:tcW w:w="0" w:type="auto"/>
            <w:vAlign w:val="center"/>
          </w:tcPr>
          <w:p w14:paraId="78055C44">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主变近区短路故障研判模块</w:t>
            </w:r>
          </w:p>
        </w:tc>
        <w:tc>
          <w:tcPr>
            <w:tcW w:w="1958" w:type="dxa"/>
            <w:vAlign w:val="center"/>
          </w:tcPr>
          <w:p w14:paraId="00B19AD0">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w:t>
            </w:r>
            <w:r>
              <w:rPr>
                <w:rFonts w:ascii="仿宋" w:hAnsi="仿宋" w:eastAsia="仿宋"/>
                <w:sz w:val="22"/>
                <w:szCs w:val="22"/>
                <w:highlight w:val="none"/>
              </w:rPr>
              <w:t>变压器近区短路故障自动判断</w:t>
            </w:r>
          </w:p>
          <w:p w14:paraId="388CC5A6">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支持与指定设备联合判断生成</w:t>
            </w:r>
            <w:r>
              <w:rPr>
                <w:rFonts w:ascii="仿宋" w:hAnsi="仿宋" w:eastAsia="仿宋"/>
                <w:sz w:val="22"/>
                <w:szCs w:val="22"/>
                <w:highlight w:val="none"/>
              </w:rPr>
              <w:t>事件化告警</w:t>
            </w:r>
          </w:p>
        </w:tc>
        <w:tc>
          <w:tcPr>
            <w:tcW w:w="515" w:type="dxa"/>
            <w:vAlign w:val="center"/>
          </w:tcPr>
          <w:p w14:paraId="0B8751F8">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61603BCF">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bidi="ar"/>
              </w:rPr>
              <w:t>15</w:t>
            </w:r>
          </w:p>
        </w:tc>
        <w:tc>
          <w:tcPr>
            <w:tcW w:w="0" w:type="auto"/>
            <w:vMerge w:val="continue"/>
            <w:vAlign w:val="center"/>
          </w:tcPr>
          <w:p w14:paraId="43E34E30">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023B670D">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3BED0882">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511D520C">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0634A389">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6BC5FCA1">
            <w:pPr>
              <w:spacing w:line="360" w:lineRule="auto"/>
              <w:ind w:firstLine="0" w:firstLineChars="0"/>
              <w:rPr>
                <w:rFonts w:hint="eastAsia" w:ascii="仿宋" w:hAnsi="仿宋" w:eastAsia="仿宋"/>
                <w:sz w:val="22"/>
                <w:szCs w:val="22"/>
                <w:highlight w:val="none"/>
              </w:rPr>
            </w:pPr>
          </w:p>
        </w:tc>
      </w:tr>
      <w:tr w14:paraId="0382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0" w:type="auto"/>
            <w:vMerge w:val="continue"/>
            <w:vAlign w:val="center"/>
          </w:tcPr>
          <w:p w14:paraId="44CED09A">
            <w:pPr>
              <w:spacing w:line="360" w:lineRule="auto"/>
              <w:ind w:firstLine="0" w:firstLineChars="0"/>
              <w:rPr>
                <w:rFonts w:hint="eastAsia" w:ascii="仿宋" w:hAnsi="仿宋" w:eastAsia="仿宋"/>
                <w:sz w:val="22"/>
                <w:szCs w:val="22"/>
                <w:highlight w:val="none"/>
              </w:rPr>
            </w:pPr>
          </w:p>
        </w:tc>
        <w:tc>
          <w:tcPr>
            <w:tcW w:w="0" w:type="auto"/>
            <w:vAlign w:val="center"/>
          </w:tcPr>
          <w:p w14:paraId="4D258A5F">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预警</w:t>
            </w:r>
            <w:r>
              <w:rPr>
                <w:rFonts w:hint="eastAsia" w:ascii="仿宋" w:hAnsi="仿宋" w:eastAsia="仿宋"/>
                <w:sz w:val="22"/>
                <w:szCs w:val="22"/>
                <w:highlight w:val="none"/>
                <w:lang w:eastAsia="zh"/>
              </w:rPr>
              <w:t>监视模块</w:t>
            </w:r>
          </w:p>
        </w:tc>
        <w:tc>
          <w:tcPr>
            <w:tcW w:w="1958" w:type="dxa"/>
            <w:vAlign w:val="center"/>
          </w:tcPr>
          <w:p w14:paraId="343A43F7">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eastAsia="zh"/>
              </w:rPr>
              <w:t>支持变电站消防、安防、动环等辅控设备实时监视，具备主辅联动、辅辅联动功能 辅助设备事件化告警功能</w:t>
            </w:r>
          </w:p>
        </w:tc>
        <w:tc>
          <w:tcPr>
            <w:tcW w:w="515" w:type="dxa"/>
            <w:vAlign w:val="center"/>
          </w:tcPr>
          <w:p w14:paraId="3A4E3253">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rPr>
              <w:t>套</w:t>
            </w:r>
          </w:p>
        </w:tc>
        <w:tc>
          <w:tcPr>
            <w:tcW w:w="698" w:type="dxa"/>
            <w:vAlign w:val="center"/>
          </w:tcPr>
          <w:p w14:paraId="64ED5A97">
            <w:pPr>
              <w:spacing w:line="360" w:lineRule="auto"/>
              <w:ind w:firstLine="0" w:firstLineChars="0"/>
              <w:rPr>
                <w:rFonts w:hint="eastAsia" w:ascii="仿宋" w:hAnsi="仿宋" w:eastAsia="仿宋"/>
                <w:sz w:val="22"/>
                <w:szCs w:val="22"/>
                <w:highlight w:val="none"/>
              </w:rPr>
            </w:pPr>
            <w:r>
              <w:rPr>
                <w:rFonts w:hint="eastAsia" w:ascii="仿宋" w:hAnsi="仿宋" w:eastAsia="仿宋"/>
                <w:sz w:val="22"/>
                <w:szCs w:val="22"/>
                <w:highlight w:val="none"/>
                <w:lang w:bidi="ar"/>
              </w:rPr>
              <w:t>20</w:t>
            </w:r>
          </w:p>
        </w:tc>
        <w:tc>
          <w:tcPr>
            <w:tcW w:w="0" w:type="auto"/>
            <w:vMerge w:val="continue"/>
            <w:vAlign w:val="center"/>
          </w:tcPr>
          <w:p w14:paraId="00B934CA">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5C2AEC5E">
            <w:pPr>
              <w:spacing w:line="360" w:lineRule="auto"/>
              <w:ind w:firstLine="0" w:firstLineChars="0"/>
              <w:rPr>
                <w:rFonts w:hint="eastAsia" w:ascii="仿宋" w:hAnsi="仿宋" w:eastAsia="仿宋"/>
                <w:sz w:val="22"/>
                <w:szCs w:val="22"/>
                <w:highlight w:val="none"/>
              </w:rPr>
            </w:pPr>
          </w:p>
        </w:tc>
        <w:tc>
          <w:tcPr>
            <w:tcW w:w="0" w:type="auto"/>
            <w:vMerge w:val="continue"/>
            <w:vAlign w:val="center"/>
          </w:tcPr>
          <w:p w14:paraId="75BABAD2">
            <w:pPr>
              <w:spacing w:line="360" w:lineRule="auto"/>
              <w:ind w:firstLine="0" w:firstLineChars="0"/>
              <w:rPr>
                <w:rFonts w:hint="eastAsia" w:ascii="仿宋" w:hAnsi="仿宋" w:eastAsia="仿宋"/>
                <w:sz w:val="22"/>
                <w:szCs w:val="22"/>
                <w:highlight w:val="none"/>
              </w:rPr>
            </w:pPr>
          </w:p>
        </w:tc>
        <w:tc>
          <w:tcPr>
            <w:tcW w:w="2629" w:type="dxa"/>
            <w:vMerge w:val="continue"/>
            <w:vAlign w:val="center"/>
          </w:tcPr>
          <w:p w14:paraId="7E5156AE">
            <w:pPr>
              <w:spacing w:line="360" w:lineRule="auto"/>
              <w:ind w:firstLine="0" w:firstLineChars="0"/>
              <w:rPr>
                <w:rFonts w:hint="eastAsia" w:ascii="仿宋" w:hAnsi="仿宋" w:eastAsia="仿宋"/>
                <w:sz w:val="22"/>
                <w:szCs w:val="22"/>
                <w:highlight w:val="none"/>
              </w:rPr>
            </w:pPr>
          </w:p>
        </w:tc>
        <w:tc>
          <w:tcPr>
            <w:tcW w:w="3283" w:type="dxa"/>
            <w:vMerge w:val="continue"/>
            <w:vAlign w:val="center"/>
          </w:tcPr>
          <w:p w14:paraId="35FA542A">
            <w:pPr>
              <w:spacing w:line="360" w:lineRule="auto"/>
              <w:ind w:firstLine="0" w:firstLineChars="0"/>
              <w:rPr>
                <w:rFonts w:hint="eastAsia" w:ascii="仿宋" w:hAnsi="仿宋" w:eastAsia="仿宋"/>
                <w:sz w:val="22"/>
                <w:szCs w:val="22"/>
                <w:highlight w:val="none"/>
              </w:rPr>
            </w:pPr>
          </w:p>
        </w:tc>
        <w:tc>
          <w:tcPr>
            <w:tcW w:w="1207" w:type="dxa"/>
            <w:vMerge w:val="continue"/>
            <w:vAlign w:val="center"/>
          </w:tcPr>
          <w:p w14:paraId="6BA8D7A0">
            <w:pPr>
              <w:spacing w:line="360" w:lineRule="auto"/>
              <w:ind w:firstLine="0" w:firstLineChars="0"/>
              <w:rPr>
                <w:rFonts w:hint="eastAsia" w:ascii="仿宋" w:hAnsi="仿宋" w:eastAsia="仿宋"/>
                <w:sz w:val="22"/>
                <w:szCs w:val="22"/>
                <w:highlight w:val="none"/>
              </w:rPr>
            </w:pPr>
          </w:p>
        </w:tc>
      </w:tr>
    </w:tbl>
    <w:p w14:paraId="5C9F6DCD">
      <w:pPr>
        <w:rPr>
          <w:rFonts w:ascii="仿宋" w:hAnsi="仿宋" w:eastAsia="仿宋"/>
          <w:color w:val="000000"/>
          <w:sz w:val="22"/>
          <w:szCs w:val="22"/>
          <w:highlight w:val="none"/>
        </w:rPr>
      </w:pPr>
      <w:r>
        <w:rPr>
          <w:rFonts w:hint="eastAsia" w:ascii="仿宋" w:hAnsi="仿宋" w:eastAsia="仿宋"/>
          <w:sz w:val="22"/>
          <w:szCs w:val="22"/>
          <w:highlight w:val="none"/>
        </w:rPr>
        <w:t>具体供货不局限于上述产品。应包括上述产品相关配件，类似升级产品。</w:t>
      </w:r>
      <w:r>
        <w:rPr>
          <w:rFonts w:hint="eastAsia" w:ascii="仿宋" w:hAnsi="仿宋" w:eastAsia="仿宋"/>
          <w:color w:val="000000"/>
          <w:sz w:val="22"/>
          <w:szCs w:val="22"/>
          <w:highlight w:val="none"/>
        </w:rPr>
        <w:t>备注：</w:t>
      </w:r>
    </w:p>
    <w:p w14:paraId="7BA49D73">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505719">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1B0C06A8">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B8521D5">
      <w:pPr>
        <w:rPr>
          <w:rFonts w:hint="eastAsia" w:ascii="仿宋" w:hAnsi="仿宋" w:eastAsia="仿宋" w:cs="仿宋"/>
          <w:color w:val="000000" w:themeColor="text1"/>
          <w:sz w:val="22"/>
          <w:szCs w:val="22"/>
          <w:highlight w:val="none"/>
          <w14:textFill>
            <w14:solidFill>
              <w14:schemeClr w14:val="tx1"/>
            </w14:solidFill>
          </w14:textFill>
        </w:rPr>
        <w:sectPr>
          <w:footerReference r:id="rId5"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7C373152">
      <w:pPr>
        <w:pStyle w:val="13"/>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分标二：隔离变压器采购项目</w:t>
      </w:r>
    </w:p>
    <w:p w14:paraId="04A4756A">
      <w:pPr>
        <w:pStyle w:val="13"/>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521"/>
        <w:gridCol w:w="2566"/>
        <w:gridCol w:w="458"/>
        <w:gridCol w:w="557"/>
        <w:gridCol w:w="638"/>
        <w:gridCol w:w="479"/>
        <w:gridCol w:w="627"/>
        <w:gridCol w:w="3835"/>
        <w:gridCol w:w="3119"/>
        <w:gridCol w:w="768"/>
      </w:tblGrid>
      <w:tr w14:paraId="01E7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0B12ED33">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70227918">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758C771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28C0B00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032CCE5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68F4870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07EC932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19D507F9">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2B02CECD">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4F1F7AF6">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68B6067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4BD20DC">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4"/>
                <w:szCs w:val="24"/>
                <w:highlight w:val="none"/>
                <w:lang w:val="en-US" w:eastAsia="zh-CN"/>
              </w:rPr>
              <w:t>额（万元）</w:t>
            </w:r>
          </w:p>
        </w:tc>
      </w:tr>
      <w:tr w14:paraId="0683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F975FDE">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隔离变压器采购项目</w:t>
            </w:r>
          </w:p>
        </w:tc>
        <w:tc>
          <w:tcPr>
            <w:tcW w:w="0" w:type="auto"/>
            <w:vAlign w:val="center"/>
          </w:tcPr>
          <w:p w14:paraId="5D45A5C2">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隔离变压器</w:t>
            </w:r>
          </w:p>
        </w:tc>
        <w:tc>
          <w:tcPr>
            <w:tcW w:w="0" w:type="auto"/>
            <w:vAlign w:val="center"/>
          </w:tcPr>
          <w:p w14:paraId="53F4E2B6">
            <w:pPr>
              <w:widowControl/>
              <w:jc w:val="center"/>
              <w:rPr>
                <w:rFonts w:hint="eastAsia" w:ascii="仿宋" w:hAnsi="仿宋" w:eastAsia="仿宋" w:cs="Arial"/>
                <w:kern w:val="0"/>
                <w:sz w:val="22"/>
                <w:szCs w:val="22"/>
                <w:highlight w:val="none"/>
              </w:rPr>
            </w:pPr>
            <w:r>
              <w:rPr>
                <w:rFonts w:ascii="仿宋" w:hAnsi="仿宋" w:eastAsia="仿宋" w:cs="Arial"/>
                <w:kern w:val="0"/>
                <w:sz w:val="22"/>
                <w:szCs w:val="22"/>
                <w:highlight w:val="none"/>
              </w:rPr>
              <w:t>3k</w:t>
            </w:r>
            <w:r>
              <w:rPr>
                <w:rFonts w:hint="eastAsia" w:ascii="仿宋" w:hAnsi="仿宋" w:eastAsia="仿宋" w:cs="Arial"/>
                <w:kern w:val="0"/>
                <w:sz w:val="22"/>
                <w:szCs w:val="22"/>
                <w:highlight w:val="none"/>
              </w:rPr>
              <w:t>VA</w:t>
            </w:r>
            <w:r>
              <w:rPr>
                <w:rFonts w:ascii="仿宋" w:hAnsi="仿宋" w:eastAsia="仿宋" w:cs="Arial"/>
                <w:kern w:val="0"/>
                <w:sz w:val="22"/>
                <w:szCs w:val="22"/>
                <w:highlight w:val="none"/>
              </w:rPr>
              <w:t>-</w:t>
            </w:r>
            <w:r>
              <w:rPr>
                <w:rFonts w:hint="eastAsia" w:ascii="仿宋" w:hAnsi="仿宋" w:eastAsia="仿宋" w:cs="Arial"/>
                <w:kern w:val="0"/>
                <w:sz w:val="22"/>
                <w:szCs w:val="22"/>
                <w:highlight w:val="none"/>
              </w:rPr>
              <w:t>40</w:t>
            </w:r>
            <w:r>
              <w:rPr>
                <w:rFonts w:ascii="仿宋" w:hAnsi="仿宋" w:eastAsia="仿宋" w:cs="Arial"/>
                <w:kern w:val="0"/>
                <w:sz w:val="22"/>
                <w:szCs w:val="22"/>
                <w:highlight w:val="none"/>
              </w:rPr>
              <w:t>k</w:t>
            </w:r>
            <w:r>
              <w:rPr>
                <w:rFonts w:hint="eastAsia" w:ascii="仿宋" w:hAnsi="仿宋" w:eastAsia="仿宋" w:cs="Arial"/>
                <w:kern w:val="0"/>
                <w:sz w:val="22"/>
                <w:szCs w:val="22"/>
                <w:highlight w:val="none"/>
              </w:rPr>
              <w:t>VA，包含单相隔离变压器、三变单隔离变压器、电源变压器，</w:t>
            </w:r>
            <w:r>
              <w:rPr>
                <w:rFonts w:hint="eastAsia" w:ascii="仿宋" w:hAnsi="仿宋" w:eastAsia="仿宋" w:cs="仿宋"/>
                <w:kern w:val="0"/>
                <w:sz w:val="22"/>
                <w:szCs w:val="22"/>
                <w:highlight w:val="none"/>
                <w:lang w:bidi="ar"/>
              </w:rPr>
              <w:t>漆包铜线，漆包铝线，绝缘等级H级，效率不低于98%</w:t>
            </w:r>
          </w:p>
        </w:tc>
        <w:tc>
          <w:tcPr>
            <w:tcW w:w="0" w:type="auto"/>
            <w:shd w:val="clear" w:color="000000" w:fill="FFFFFF"/>
            <w:vAlign w:val="center"/>
          </w:tcPr>
          <w:p w14:paraId="74AA34C9">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台</w:t>
            </w:r>
          </w:p>
        </w:tc>
        <w:tc>
          <w:tcPr>
            <w:tcW w:w="0" w:type="auto"/>
            <w:shd w:val="clear" w:color="000000" w:fill="FFFFFF"/>
            <w:vAlign w:val="center"/>
          </w:tcPr>
          <w:p w14:paraId="40B7E699">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760</w:t>
            </w:r>
          </w:p>
        </w:tc>
        <w:tc>
          <w:tcPr>
            <w:tcW w:w="0" w:type="auto"/>
            <w:vAlign w:val="center"/>
          </w:tcPr>
          <w:p w14:paraId="6A1664DB">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接到供货通知后15日内</w:t>
            </w:r>
          </w:p>
        </w:tc>
        <w:tc>
          <w:tcPr>
            <w:tcW w:w="0" w:type="auto"/>
            <w:vAlign w:val="center"/>
          </w:tcPr>
          <w:p w14:paraId="78280743">
            <w:pPr>
              <w:widowControl/>
              <w:jc w:val="center"/>
              <w:rPr>
                <w:rFonts w:hint="eastAsia" w:ascii="仿宋" w:hAnsi="仿宋" w:eastAsia="仿宋" w:cs="Arial"/>
                <w:kern w:val="0"/>
                <w:sz w:val="22"/>
                <w:szCs w:val="22"/>
                <w:highlight w:val="none"/>
              </w:rPr>
            </w:pPr>
            <w:r>
              <w:rPr>
                <w:rFonts w:ascii="仿宋" w:hAnsi="仿宋" w:eastAsia="仿宋" w:cs="Arial"/>
                <w:kern w:val="0"/>
                <w:sz w:val="22"/>
                <w:szCs w:val="22"/>
                <w:highlight w:val="none"/>
              </w:rPr>
              <w:t>3</w:t>
            </w:r>
            <w:r>
              <w:rPr>
                <w:rFonts w:hint="eastAsia" w:ascii="仿宋" w:hAnsi="仿宋" w:eastAsia="仿宋" w:cs="Arial"/>
                <w:kern w:val="0"/>
                <w:sz w:val="22"/>
                <w:szCs w:val="22"/>
                <w:highlight w:val="none"/>
              </w:rPr>
              <w:t>年</w:t>
            </w:r>
          </w:p>
        </w:tc>
        <w:tc>
          <w:tcPr>
            <w:tcW w:w="0" w:type="auto"/>
            <w:vAlign w:val="center"/>
          </w:tcPr>
          <w:p w14:paraId="32AB9026">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0" w:type="auto"/>
            <w:vAlign w:val="center"/>
          </w:tcPr>
          <w:p w14:paraId="0EC1F34E">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b/>
                <w:bCs/>
                <w:color w:val="000000"/>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0AF25BD7">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23年1月1日至采购公告发布之日内具有隔离变压器类产品累计销售业绩不少于80万。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0" w:type="auto"/>
            <w:vAlign w:val="center"/>
          </w:tcPr>
          <w:p w14:paraId="695DB7BE">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2.4</w:t>
            </w:r>
          </w:p>
        </w:tc>
      </w:tr>
    </w:tbl>
    <w:p w14:paraId="4F770743">
      <w:pPr>
        <w:pStyle w:val="8"/>
        <w:ind w:firstLine="44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19A03197">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19B2FD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B2BE79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FF58320">
      <w:pPr>
        <w:pStyle w:val="14"/>
        <w:rPr>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05C01ED6">
      <w:pPr>
        <w:pStyle w:val="13"/>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分标三：变压器预警组件采购项目</w:t>
      </w:r>
    </w:p>
    <w:p w14:paraId="7F81529F">
      <w:pPr>
        <w:pStyle w:val="13"/>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740"/>
        <w:gridCol w:w="691"/>
        <w:gridCol w:w="488"/>
        <w:gridCol w:w="488"/>
        <w:gridCol w:w="816"/>
        <w:gridCol w:w="539"/>
        <w:gridCol w:w="892"/>
        <w:gridCol w:w="1013"/>
        <w:gridCol w:w="6701"/>
        <w:gridCol w:w="864"/>
      </w:tblGrid>
      <w:tr w14:paraId="54BF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11EC87E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shd w:val="clear" w:color="auto" w:fill="auto"/>
            <w:vAlign w:val="center"/>
          </w:tcPr>
          <w:p w14:paraId="3A2758E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shd w:val="clear" w:color="auto" w:fill="auto"/>
            <w:vAlign w:val="center"/>
          </w:tcPr>
          <w:p w14:paraId="128A6C8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shd w:val="clear" w:color="auto" w:fill="auto"/>
            <w:vAlign w:val="center"/>
          </w:tcPr>
          <w:p w14:paraId="63729CB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shd w:val="clear" w:color="auto" w:fill="auto"/>
            <w:vAlign w:val="center"/>
          </w:tcPr>
          <w:p w14:paraId="3EF2BCE5">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shd w:val="clear" w:color="auto" w:fill="auto"/>
            <w:vAlign w:val="center"/>
          </w:tcPr>
          <w:p w14:paraId="014581AD">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628C6D3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shd w:val="clear" w:color="auto" w:fill="auto"/>
            <w:vAlign w:val="center"/>
          </w:tcPr>
          <w:p w14:paraId="4046A6A1">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50DC0DCD">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34DC1EB6">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43BE3BE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FEBB062">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4"/>
                <w:szCs w:val="24"/>
                <w:highlight w:val="none"/>
                <w:lang w:val="en-US" w:eastAsia="zh-CN"/>
              </w:rPr>
              <w:t>额（万元）</w:t>
            </w:r>
          </w:p>
        </w:tc>
      </w:tr>
      <w:tr w14:paraId="1DD3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70DDF6D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变压器预警组件采购项目</w:t>
            </w:r>
          </w:p>
        </w:tc>
        <w:tc>
          <w:tcPr>
            <w:tcW w:w="0" w:type="auto"/>
            <w:shd w:val="clear" w:color="auto" w:fill="auto"/>
            <w:vAlign w:val="center"/>
          </w:tcPr>
          <w:p w14:paraId="0E536D8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变压器预警组件</w:t>
            </w:r>
          </w:p>
        </w:tc>
        <w:tc>
          <w:tcPr>
            <w:tcW w:w="0" w:type="auto"/>
            <w:shd w:val="clear" w:color="auto" w:fill="auto"/>
            <w:vAlign w:val="center"/>
          </w:tcPr>
          <w:p w14:paraId="319E6CC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详见技术规范</w:t>
            </w:r>
          </w:p>
        </w:tc>
        <w:tc>
          <w:tcPr>
            <w:tcW w:w="0" w:type="auto"/>
            <w:shd w:val="clear" w:color="000000" w:fill="FFFFFF"/>
            <w:vAlign w:val="center"/>
          </w:tcPr>
          <w:p w14:paraId="25C0BF41">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套</w:t>
            </w:r>
          </w:p>
        </w:tc>
        <w:tc>
          <w:tcPr>
            <w:tcW w:w="0" w:type="auto"/>
            <w:shd w:val="clear" w:color="000000" w:fill="FFFFFF"/>
            <w:vAlign w:val="center"/>
          </w:tcPr>
          <w:p w14:paraId="6E75DEB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2</w:t>
            </w:r>
          </w:p>
        </w:tc>
        <w:tc>
          <w:tcPr>
            <w:tcW w:w="0" w:type="auto"/>
            <w:shd w:val="clear" w:color="auto" w:fill="auto"/>
            <w:vAlign w:val="center"/>
          </w:tcPr>
          <w:p w14:paraId="3AEE75A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合同签订后15日内</w:t>
            </w:r>
          </w:p>
        </w:tc>
        <w:tc>
          <w:tcPr>
            <w:tcW w:w="0" w:type="auto"/>
            <w:vAlign w:val="center"/>
          </w:tcPr>
          <w:p w14:paraId="6924CA6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3年</w:t>
            </w:r>
          </w:p>
        </w:tc>
        <w:tc>
          <w:tcPr>
            <w:tcW w:w="0" w:type="auto"/>
            <w:shd w:val="clear" w:color="auto" w:fill="auto"/>
            <w:vAlign w:val="center"/>
          </w:tcPr>
          <w:p w14:paraId="4375D4D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shd w:val="clear" w:color="auto" w:fill="auto"/>
            <w:vAlign w:val="center"/>
          </w:tcPr>
          <w:p w14:paraId="287D02C1">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集货商</w:t>
            </w:r>
          </w:p>
        </w:tc>
        <w:tc>
          <w:tcPr>
            <w:tcW w:w="0" w:type="auto"/>
            <w:shd w:val="clear" w:color="auto" w:fill="auto"/>
            <w:vAlign w:val="center"/>
          </w:tcPr>
          <w:p w14:paraId="230BBE84">
            <w:pPr>
              <w:widowControl/>
              <w:jc w:val="center"/>
              <w:rPr>
                <w:rFonts w:hint="eastAsia" w:ascii="仿宋" w:hAnsi="仿宋" w:eastAsia="仿宋" w:cs="Arial"/>
                <w:color w:val="000000" w:themeColor="text1"/>
                <w:kern w:val="0"/>
                <w:sz w:val="22"/>
                <w:szCs w:val="22"/>
                <w:highlight w:val="none"/>
                <w:lang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业绩要求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color w:val="000000" w:themeColor="text1"/>
                <w:kern w:val="0"/>
                <w:sz w:val="22"/>
                <w:szCs w:val="22"/>
                <w:highlight w:val="none"/>
                <w14:textFill>
                  <w14:solidFill>
                    <w14:schemeClr w14:val="tx1"/>
                  </w14:solidFill>
                </w14:textFill>
              </w:rPr>
              <w:t>2023年1月1日至招标（采购）公告发布之日内，具有消防系统类产品累计销售业绩不小于100万元。</w:t>
            </w:r>
            <w:r>
              <w:rPr>
                <w:rFonts w:hint="eastAsia" w:ascii="仿宋" w:hAnsi="仿宋" w:eastAsia="仿宋" w:cs="仿宋"/>
                <w:color w:val="000000" w:themeColor="text1"/>
                <w:kern w:val="0"/>
                <w:sz w:val="22"/>
                <w:szCs w:val="22"/>
                <w:highlight w:val="none"/>
                <w14:textFill>
                  <w14:solidFill>
                    <w14:schemeClr w14:val="tx1"/>
                  </w14:solidFill>
                </w14:textFill>
              </w:rPr>
              <w:t>（</w:t>
            </w:r>
            <w:r>
              <w:rPr>
                <w:rFonts w:hint="eastAsia" w:ascii="仿宋" w:hAnsi="仿宋" w:eastAsia="仿宋" w:cs="仿宋"/>
                <w:color w:val="000000" w:themeColor="text1"/>
                <w:kern w:val="0"/>
                <w:sz w:val="24"/>
                <w:highlight w:val="none"/>
                <w:lang w:bidi="ar"/>
                <w14:textFill>
                  <w14:solidFill>
                    <w14:schemeClr w14:val="tx1"/>
                  </w14:solidFill>
                </w14:textFill>
              </w:rPr>
              <w:t>时间以合同签订日期为准，须提供用户合同封面、金额页、合同签字盖章页复印件、证明合同内容的合同页、发票复印件、发票查验结果截图</w:t>
            </w:r>
            <w:r>
              <w:rPr>
                <w:rFonts w:hint="eastAsia" w:ascii="仿宋" w:hAnsi="仿宋" w:eastAsia="仿宋" w:cs="仿宋"/>
                <w:color w:val="000000" w:themeColor="text1"/>
                <w:kern w:val="0"/>
                <w:sz w:val="22"/>
                <w:szCs w:val="22"/>
                <w:highlight w:val="none"/>
                <w14:textFill>
                  <w14:solidFill>
                    <w14:schemeClr w14:val="tx1"/>
                  </w14:solidFill>
                </w14:textFill>
              </w:rPr>
              <w:t>）</w:t>
            </w:r>
          </w:p>
        </w:tc>
        <w:tc>
          <w:tcPr>
            <w:tcW w:w="0" w:type="auto"/>
            <w:shd w:val="clear" w:color="auto" w:fill="auto"/>
            <w:vAlign w:val="center"/>
          </w:tcPr>
          <w:p w14:paraId="58852078">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2</w:t>
            </w:r>
          </w:p>
        </w:tc>
      </w:tr>
    </w:tbl>
    <w:p w14:paraId="0F23A69D">
      <w:pPr>
        <w:ind w:firstLine="42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0C16008D">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431FC869">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5583DE9">
      <w:pPr>
        <w:rPr>
          <w:rFonts w:hint="eastAsia"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154BDE5A">
      <w:pPr>
        <w:rPr>
          <w:rFonts w:hint="eastAsia"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1A9DD9D8">
      <w:pPr>
        <w:rPr>
          <w:rFonts w:hint="eastAsia"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5F74562">
      <w:pPr>
        <w:pStyle w:val="13"/>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分标四：数据处理设备配件采购项目</w:t>
      </w:r>
    </w:p>
    <w:p w14:paraId="64EE6B55">
      <w:pPr>
        <w:pStyle w:val="13"/>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25"/>
        <w:gridCol w:w="610"/>
        <w:gridCol w:w="462"/>
        <w:gridCol w:w="462"/>
        <w:gridCol w:w="622"/>
        <w:gridCol w:w="487"/>
        <w:gridCol w:w="659"/>
        <w:gridCol w:w="4330"/>
        <w:gridCol w:w="3638"/>
        <w:gridCol w:w="779"/>
      </w:tblGrid>
      <w:tr w14:paraId="5D10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0" w:type="auto"/>
            <w:vAlign w:val="center"/>
          </w:tcPr>
          <w:p w14:paraId="4EC7949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599BDA4A">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4B123D19">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15BEB75C">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508CFEA4">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4C11B896">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5EE3389E">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4DFFF557">
            <w:pPr>
              <w:widowControl/>
              <w:jc w:val="center"/>
              <w:rPr>
                <w:rFonts w:hint="eastAsia"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6CE10288">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174813A7">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19F3E9E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A24F3AC">
            <w:pPr>
              <w:widowControl/>
              <w:jc w:val="center"/>
              <w:rPr>
                <w:rFonts w:hint="eastAsia" w:ascii="仿宋" w:hAnsi="仿宋" w:eastAsia="仿宋" w:cs="Arial"/>
                <w:b/>
                <w:bCs/>
                <w:kern w:val="0"/>
                <w:sz w:val="22"/>
                <w:szCs w:val="22"/>
                <w:highlight w:val="none"/>
                <w:lang w:val="en-US" w:eastAsia="en-US" w:bidi="en-US"/>
              </w:rPr>
            </w:pPr>
            <w:r>
              <w:rPr>
                <w:rFonts w:hint="eastAsia" w:ascii="仿宋" w:hAnsi="仿宋" w:eastAsia="仿宋" w:cs="仿宋"/>
                <w:b/>
                <w:bCs/>
                <w:color w:val="auto"/>
                <w:kern w:val="0"/>
                <w:sz w:val="24"/>
                <w:szCs w:val="24"/>
                <w:highlight w:val="none"/>
                <w:lang w:val="en-US" w:eastAsia="zh-CN"/>
              </w:rPr>
              <w:t>额（万元）</w:t>
            </w:r>
          </w:p>
        </w:tc>
      </w:tr>
      <w:tr w14:paraId="63FE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4E31E283">
            <w:pPr>
              <w:widowControl/>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数据处理设备配件采购项目</w:t>
            </w:r>
            <w:r>
              <w:rPr>
                <w:rFonts w:hint="eastAsia" w:ascii="仿宋" w:hAnsi="仿宋" w:eastAsia="仿宋" w:cs="Arial"/>
                <w:kern w:val="0"/>
                <w:sz w:val="22"/>
                <w:szCs w:val="22"/>
                <w:highlight w:val="none"/>
              </w:rPr>
              <w:t>（包一）</w:t>
            </w:r>
          </w:p>
        </w:tc>
        <w:tc>
          <w:tcPr>
            <w:tcW w:w="0" w:type="auto"/>
            <w:vAlign w:val="center"/>
          </w:tcPr>
          <w:p w14:paraId="6ACBAB9B">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应用服务器</w:t>
            </w:r>
          </w:p>
        </w:tc>
        <w:tc>
          <w:tcPr>
            <w:tcW w:w="0" w:type="auto"/>
            <w:vAlign w:val="center"/>
          </w:tcPr>
          <w:p w14:paraId="5B8D53BA">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0" w:type="auto"/>
            <w:shd w:val="clear" w:color="000000" w:fill="FFFFFF"/>
            <w:vAlign w:val="center"/>
          </w:tcPr>
          <w:p w14:paraId="217B8608">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台</w:t>
            </w:r>
          </w:p>
        </w:tc>
        <w:tc>
          <w:tcPr>
            <w:tcW w:w="0" w:type="auto"/>
            <w:shd w:val="clear" w:color="000000" w:fill="FFFFFF"/>
            <w:vAlign w:val="center"/>
          </w:tcPr>
          <w:p w14:paraId="1AD19283">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4</w:t>
            </w:r>
          </w:p>
        </w:tc>
        <w:tc>
          <w:tcPr>
            <w:tcW w:w="0" w:type="auto"/>
            <w:vAlign w:val="center"/>
          </w:tcPr>
          <w:p w14:paraId="74EE6881">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合同签订后15日内</w:t>
            </w:r>
          </w:p>
        </w:tc>
        <w:tc>
          <w:tcPr>
            <w:tcW w:w="0" w:type="auto"/>
            <w:vAlign w:val="center"/>
          </w:tcPr>
          <w:p w14:paraId="792C108D">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0" w:type="auto"/>
            <w:vAlign w:val="center"/>
          </w:tcPr>
          <w:p w14:paraId="2A83DC72">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0" w:type="auto"/>
            <w:vAlign w:val="center"/>
          </w:tcPr>
          <w:p w14:paraId="49D43EAB">
            <w:pPr>
              <w:widowControl/>
              <w:snapToGrid w:val="0"/>
              <w:jc w:val="center"/>
              <w:rPr>
                <w:rFonts w:hint="eastAsia" w:ascii="仿宋" w:hAnsi="仿宋" w:eastAsia="仿宋" w:cs="宋体"/>
                <w:kern w:val="0"/>
                <w:sz w:val="22"/>
                <w:szCs w:val="22"/>
                <w:highlight w:val="none"/>
              </w:rPr>
            </w:pP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b/>
                <w:bCs/>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b/>
                <w:bCs/>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43AA842">
            <w:pPr>
              <w:widowControl/>
              <w:jc w:val="center"/>
              <w:rPr>
                <w:rFonts w:hint="eastAsia" w:ascii="仿宋" w:hAnsi="仿宋" w:eastAsia="仿宋" w:cs="Arial"/>
                <w:kern w:val="0"/>
                <w:sz w:val="22"/>
                <w:szCs w:val="22"/>
                <w:highlight w:val="none"/>
              </w:rPr>
            </w:pPr>
            <w:r>
              <w:rPr>
                <w:rFonts w:hint="eastAsia" w:ascii="仿宋" w:hAnsi="仿宋" w:eastAsia="仿宋" w:cs="宋体"/>
                <w:b/>
                <w:bCs/>
                <w:kern w:val="0"/>
                <w:sz w:val="22"/>
                <w:szCs w:val="22"/>
                <w:highlight w:val="none"/>
                <w:lang w:val="en-US" w:eastAsia="zh-CN"/>
              </w:rPr>
              <w:t>(2)</w:t>
            </w:r>
            <w:r>
              <w:rPr>
                <w:rFonts w:hint="eastAsia" w:ascii="仿宋" w:hAnsi="仿宋" w:eastAsia="仿宋" w:cs="宋体"/>
                <w:kern w:val="0"/>
                <w:sz w:val="22"/>
                <w:szCs w:val="22"/>
                <w:highlight w:val="none"/>
              </w:rPr>
              <w:t>对于制造商投标，应提供生产、检验检测设备的证明材料，包括采购合同及发票等，不得借用、租用其他公司设备</w:t>
            </w:r>
            <w:r>
              <w:rPr>
                <w:rFonts w:hint="eastAsia" w:ascii="仿宋" w:hAnsi="仿宋" w:eastAsia="仿宋" w:cs="宋体"/>
                <w:b/>
                <w:bCs/>
                <w:kern w:val="0"/>
                <w:sz w:val="22"/>
                <w:szCs w:val="22"/>
                <w:highlight w:val="none"/>
                <w:lang w:val="en-US" w:eastAsia="zh-CN"/>
              </w:rPr>
              <w:t>3.</w:t>
            </w:r>
            <w:r>
              <w:rPr>
                <w:rFonts w:hint="eastAsia" w:ascii="仿宋" w:hAnsi="仿宋" w:eastAsia="仿宋" w:cs="宋体"/>
                <w:b/>
                <w:bCs/>
                <w:kern w:val="0"/>
                <w:sz w:val="22"/>
                <w:szCs w:val="22"/>
                <w:highlight w:val="none"/>
              </w:rPr>
              <w:t>备注</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代理商需提供制造商授权函及制造商出具的质保函</w:t>
            </w:r>
          </w:p>
        </w:tc>
        <w:tc>
          <w:tcPr>
            <w:tcW w:w="0" w:type="auto"/>
            <w:vAlign w:val="center"/>
          </w:tcPr>
          <w:p w14:paraId="65B8D97A">
            <w:pPr>
              <w:widowControl/>
              <w:jc w:val="center"/>
              <w:rPr>
                <w:rFonts w:hint="eastAsia" w:ascii="仿宋" w:hAnsi="仿宋" w:eastAsia="仿宋" w:cs="Arial"/>
                <w:kern w:val="0"/>
                <w:sz w:val="22"/>
                <w:szCs w:val="22"/>
                <w:highlight w:val="none"/>
              </w:rPr>
            </w:pP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rPr>
              <w:t>业绩要求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2023年1月1日至招标（采购）公告发布之日内，具有服务器类产品产品累计销售业绩不小于50万元。（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0" w:type="auto"/>
            <w:vAlign w:val="center"/>
          </w:tcPr>
          <w:p w14:paraId="0744113E">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0.6</w:t>
            </w:r>
          </w:p>
        </w:tc>
      </w:tr>
      <w:tr w14:paraId="714D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restart"/>
            <w:vAlign w:val="center"/>
          </w:tcPr>
          <w:p w14:paraId="2086CF57">
            <w:pPr>
              <w:widowControl/>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数据处理设备配件采购项目</w:t>
            </w:r>
            <w:r>
              <w:rPr>
                <w:rFonts w:hint="eastAsia" w:ascii="仿宋" w:hAnsi="仿宋" w:eastAsia="仿宋" w:cs="Arial"/>
                <w:kern w:val="0"/>
                <w:sz w:val="22"/>
                <w:szCs w:val="22"/>
                <w:highlight w:val="none"/>
              </w:rPr>
              <w:t>（包二）</w:t>
            </w:r>
          </w:p>
        </w:tc>
        <w:tc>
          <w:tcPr>
            <w:tcW w:w="0" w:type="auto"/>
            <w:vAlign w:val="center"/>
          </w:tcPr>
          <w:p w14:paraId="6ECCF819">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服务器存储单元板卡</w:t>
            </w:r>
          </w:p>
        </w:tc>
        <w:tc>
          <w:tcPr>
            <w:tcW w:w="0" w:type="auto"/>
            <w:vAlign w:val="center"/>
          </w:tcPr>
          <w:p w14:paraId="4856B976">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0" w:type="auto"/>
            <w:shd w:val="clear" w:color="000000" w:fill="FFFFFF"/>
            <w:vAlign w:val="center"/>
          </w:tcPr>
          <w:p w14:paraId="4215D0BD">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59F5B993">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21</w:t>
            </w:r>
          </w:p>
        </w:tc>
        <w:tc>
          <w:tcPr>
            <w:tcW w:w="0" w:type="auto"/>
            <w:vMerge w:val="restart"/>
            <w:vAlign w:val="center"/>
          </w:tcPr>
          <w:p w14:paraId="42DD3137">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合同签订后15日内</w:t>
            </w:r>
          </w:p>
        </w:tc>
        <w:tc>
          <w:tcPr>
            <w:tcW w:w="0" w:type="auto"/>
            <w:vMerge w:val="restart"/>
            <w:vAlign w:val="center"/>
          </w:tcPr>
          <w:p w14:paraId="3AB5EBA3">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0" w:type="auto"/>
            <w:vMerge w:val="restart"/>
            <w:vAlign w:val="center"/>
          </w:tcPr>
          <w:p w14:paraId="701DB231">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0" w:type="auto"/>
            <w:vMerge w:val="restart"/>
            <w:vAlign w:val="center"/>
          </w:tcPr>
          <w:p w14:paraId="67FA217E">
            <w:pPr>
              <w:widowControl/>
              <w:snapToGrid w:val="0"/>
              <w:jc w:val="center"/>
              <w:rPr>
                <w:rFonts w:hint="eastAsia" w:ascii="仿宋" w:hAnsi="仿宋" w:eastAsia="仿宋" w:cs="宋体"/>
                <w:kern w:val="0"/>
                <w:sz w:val="22"/>
                <w:szCs w:val="22"/>
                <w:highlight w:val="none"/>
              </w:rPr>
            </w:pP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b/>
                <w:bCs/>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b/>
                <w:bCs/>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FE65971">
            <w:pPr>
              <w:widowControl/>
              <w:jc w:val="center"/>
              <w:rPr>
                <w:rFonts w:hint="eastAsia" w:ascii="仿宋" w:hAnsi="仿宋" w:eastAsia="仿宋" w:cs="Arial"/>
                <w:kern w:val="0"/>
                <w:sz w:val="22"/>
                <w:szCs w:val="22"/>
                <w:highlight w:val="none"/>
              </w:rPr>
            </w:pPr>
            <w:r>
              <w:rPr>
                <w:rFonts w:hint="eastAsia" w:ascii="仿宋" w:hAnsi="仿宋" w:eastAsia="仿宋" w:cs="宋体"/>
                <w:b/>
                <w:bCs/>
                <w:kern w:val="0"/>
                <w:sz w:val="22"/>
                <w:szCs w:val="22"/>
                <w:highlight w:val="none"/>
                <w:lang w:val="en-US" w:eastAsia="zh-CN"/>
              </w:rPr>
              <w:t>(2)</w:t>
            </w:r>
            <w:r>
              <w:rPr>
                <w:rFonts w:hint="eastAsia" w:ascii="仿宋" w:hAnsi="仿宋" w:eastAsia="仿宋" w:cs="宋体"/>
                <w:kern w:val="0"/>
                <w:sz w:val="22"/>
                <w:szCs w:val="22"/>
                <w:highlight w:val="none"/>
              </w:rPr>
              <w:t>对于制造商投标，应提供生产、检验检测设备的证明材料，包括采购合同及发票等，不得借用、租用其他公司设备</w:t>
            </w:r>
            <w:r>
              <w:rPr>
                <w:rFonts w:hint="eastAsia" w:ascii="仿宋" w:hAnsi="仿宋" w:eastAsia="仿宋" w:cs="宋体"/>
                <w:b/>
                <w:bCs/>
                <w:kern w:val="0"/>
                <w:sz w:val="22"/>
                <w:szCs w:val="22"/>
                <w:highlight w:val="none"/>
                <w:lang w:val="en-US" w:eastAsia="zh-CN"/>
              </w:rPr>
              <w:t>3.</w:t>
            </w:r>
            <w:r>
              <w:rPr>
                <w:rFonts w:hint="eastAsia" w:ascii="仿宋" w:hAnsi="仿宋" w:eastAsia="仿宋" w:cs="宋体"/>
                <w:b/>
                <w:bCs/>
                <w:kern w:val="0"/>
                <w:sz w:val="22"/>
                <w:szCs w:val="22"/>
                <w:highlight w:val="none"/>
              </w:rPr>
              <w:t>备注</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代理商需提供制造商授权函及制造商出具的质保函</w:t>
            </w:r>
          </w:p>
        </w:tc>
        <w:tc>
          <w:tcPr>
            <w:tcW w:w="0" w:type="auto"/>
            <w:vMerge w:val="restart"/>
            <w:vAlign w:val="center"/>
          </w:tcPr>
          <w:p w14:paraId="35D5E05F">
            <w:pPr>
              <w:widowControl/>
              <w:jc w:val="center"/>
              <w:rPr>
                <w:rFonts w:hint="eastAsia" w:ascii="仿宋" w:hAnsi="仿宋" w:eastAsia="仿宋" w:cs="Arial"/>
                <w:kern w:val="0"/>
                <w:sz w:val="22"/>
                <w:szCs w:val="22"/>
                <w:highlight w:val="none"/>
              </w:rPr>
            </w:pP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rPr>
              <w:t>业绩要求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2023年1月1日至招标（采购）公告发布之日内，具有服务器类产品产品累计销售业绩不小于50万元。（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0" w:type="auto"/>
            <w:vMerge w:val="restart"/>
            <w:vAlign w:val="center"/>
          </w:tcPr>
          <w:p w14:paraId="7116711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0.2</w:t>
            </w:r>
          </w:p>
        </w:tc>
      </w:tr>
      <w:tr w14:paraId="14B8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33B54628">
            <w:pPr>
              <w:widowControl/>
              <w:jc w:val="center"/>
              <w:rPr>
                <w:rFonts w:hint="eastAsia" w:ascii="仿宋" w:hAnsi="仿宋" w:eastAsia="仿宋" w:cs="Arial"/>
                <w:kern w:val="0"/>
                <w:sz w:val="22"/>
                <w:szCs w:val="22"/>
                <w:highlight w:val="none"/>
              </w:rPr>
            </w:pPr>
          </w:p>
        </w:tc>
        <w:tc>
          <w:tcPr>
            <w:tcW w:w="0" w:type="auto"/>
            <w:vAlign w:val="center"/>
          </w:tcPr>
          <w:p w14:paraId="4C512AB9">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服务器存储单元硬盘框</w:t>
            </w:r>
          </w:p>
        </w:tc>
        <w:tc>
          <w:tcPr>
            <w:tcW w:w="0" w:type="auto"/>
            <w:vAlign w:val="center"/>
          </w:tcPr>
          <w:p w14:paraId="60E0CBE7">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0" w:type="auto"/>
            <w:shd w:val="clear" w:color="000000" w:fill="FFFFFF"/>
            <w:vAlign w:val="center"/>
          </w:tcPr>
          <w:p w14:paraId="2AFB4ED0">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060B38A3">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0" w:type="auto"/>
            <w:vMerge w:val="continue"/>
            <w:vAlign w:val="center"/>
          </w:tcPr>
          <w:p w14:paraId="77888C18">
            <w:pPr>
              <w:widowControl/>
              <w:jc w:val="center"/>
              <w:rPr>
                <w:rFonts w:hint="eastAsia" w:ascii="仿宋" w:hAnsi="仿宋" w:eastAsia="仿宋" w:cs="Arial"/>
                <w:kern w:val="0"/>
                <w:sz w:val="22"/>
                <w:szCs w:val="22"/>
                <w:highlight w:val="none"/>
              </w:rPr>
            </w:pPr>
          </w:p>
        </w:tc>
        <w:tc>
          <w:tcPr>
            <w:tcW w:w="0" w:type="auto"/>
            <w:vMerge w:val="continue"/>
            <w:vAlign w:val="center"/>
          </w:tcPr>
          <w:p w14:paraId="4C736E7A">
            <w:pPr>
              <w:widowControl/>
              <w:jc w:val="center"/>
              <w:rPr>
                <w:rFonts w:hint="eastAsia" w:ascii="仿宋" w:hAnsi="仿宋" w:eastAsia="仿宋" w:cs="Arial"/>
                <w:kern w:val="0"/>
                <w:sz w:val="22"/>
                <w:szCs w:val="22"/>
                <w:highlight w:val="none"/>
              </w:rPr>
            </w:pPr>
          </w:p>
        </w:tc>
        <w:tc>
          <w:tcPr>
            <w:tcW w:w="0" w:type="auto"/>
            <w:vMerge w:val="continue"/>
            <w:vAlign w:val="center"/>
          </w:tcPr>
          <w:p w14:paraId="03621E9B">
            <w:pPr>
              <w:widowControl/>
              <w:jc w:val="center"/>
              <w:rPr>
                <w:rFonts w:hint="eastAsia" w:ascii="仿宋" w:hAnsi="仿宋" w:eastAsia="仿宋" w:cs="Arial"/>
                <w:kern w:val="0"/>
                <w:sz w:val="22"/>
                <w:szCs w:val="22"/>
                <w:highlight w:val="none"/>
              </w:rPr>
            </w:pPr>
          </w:p>
        </w:tc>
        <w:tc>
          <w:tcPr>
            <w:tcW w:w="0" w:type="auto"/>
            <w:vMerge w:val="continue"/>
            <w:vAlign w:val="center"/>
          </w:tcPr>
          <w:p w14:paraId="2EED4C4A">
            <w:pPr>
              <w:widowControl/>
              <w:jc w:val="center"/>
              <w:rPr>
                <w:rFonts w:hint="eastAsia" w:ascii="仿宋" w:hAnsi="仿宋" w:eastAsia="仿宋" w:cs="Arial"/>
                <w:kern w:val="0"/>
                <w:sz w:val="22"/>
                <w:szCs w:val="22"/>
                <w:highlight w:val="none"/>
              </w:rPr>
            </w:pPr>
          </w:p>
        </w:tc>
        <w:tc>
          <w:tcPr>
            <w:tcW w:w="0" w:type="auto"/>
            <w:vMerge w:val="continue"/>
            <w:vAlign w:val="center"/>
          </w:tcPr>
          <w:p w14:paraId="7F40595B">
            <w:pPr>
              <w:widowControl/>
              <w:jc w:val="center"/>
              <w:rPr>
                <w:rFonts w:hint="eastAsia" w:ascii="仿宋" w:hAnsi="仿宋" w:eastAsia="仿宋" w:cs="Arial"/>
                <w:kern w:val="0"/>
                <w:sz w:val="22"/>
                <w:szCs w:val="22"/>
                <w:highlight w:val="none"/>
              </w:rPr>
            </w:pPr>
          </w:p>
        </w:tc>
        <w:tc>
          <w:tcPr>
            <w:tcW w:w="0" w:type="auto"/>
            <w:vMerge w:val="continue"/>
            <w:vAlign w:val="center"/>
          </w:tcPr>
          <w:p w14:paraId="700486DE">
            <w:pPr>
              <w:widowControl/>
              <w:jc w:val="center"/>
              <w:rPr>
                <w:rFonts w:hint="eastAsia" w:ascii="仿宋" w:hAnsi="仿宋" w:eastAsia="仿宋" w:cs="Arial"/>
                <w:kern w:val="0"/>
                <w:sz w:val="22"/>
                <w:szCs w:val="22"/>
                <w:highlight w:val="none"/>
              </w:rPr>
            </w:pPr>
          </w:p>
        </w:tc>
      </w:tr>
      <w:tr w14:paraId="2303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48EE5CA9">
            <w:pPr>
              <w:widowControl/>
              <w:jc w:val="center"/>
              <w:rPr>
                <w:rFonts w:hint="eastAsia" w:ascii="仿宋" w:hAnsi="仿宋" w:eastAsia="仿宋" w:cs="Arial"/>
                <w:kern w:val="0"/>
                <w:sz w:val="22"/>
                <w:szCs w:val="22"/>
                <w:highlight w:val="none"/>
              </w:rPr>
            </w:pPr>
          </w:p>
        </w:tc>
        <w:tc>
          <w:tcPr>
            <w:tcW w:w="0" w:type="auto"/>
            <w:vAlign w:val="center"/>
          </w:tcPr>
          <w:p w14:paraId="7B65ADD6">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服务器存储单元配件（连接线材，电源等其他）</w:t>
            </w:r>
          </w:p>
        </w:tc>
        <w:tc>
          <w:tcPr>
            <w:tcW w:w="0" w:type="auto"/>
            <w:vAlign w:val="center"/>
          </w:tcPr>
          <w:p w14:paraId="06CAE0E8">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0" w:type="auto"/>
            <w:shd w:val="clear" w:color="000000" w:fill="FFFFFF"/>
            <w:vAlign w:val="center"/>
          </w:tcPr>
          <w:p w14:paraId="3022E8FE">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shd w:val="clear" w:color="000000" w:fill="FFFFFF"/>
            <w:vAlign w:val="center"/>
          </w:tcPr>
          <w:p w14:paraId="46512167">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0" w:type="auto"/>
            <w:vMerge w:val="continue"/>
            <w:vAlign w:val="center"/>
          </w:tcPr>
          <w:p w14:paraId="317B510C">
            <w:pPr>
              <w:widowControl/>
              <w:jc w:val="center"/>
              <w:rPr>
                <w:rFonts w:hint="eastAsia" w:ascii="仿宋" w:hAnsi="仿宋" w:eastAsia="仿宋" w:cs="Arial"/>
                <w:kern w:val="0"/>
                <w:sz w:val="22"/>
                <w:szCs w:val="22"/>
                <w:highlight w:val="none"/>
              </w:rPr>
            </w:pPr>
          </w:p>
        </w:tc>
        <w:tc>
          <w:tcPr>
            <w:tcW w:w="0" w:type="auto"/>
            <w:vMerge w:val="continue"/>
            <w:vAlign w:val="center"/>
          </w:tcPr>
          <w:p w14:paraId="62E11106">
            <w:pPr>
              <w:widowControl/>
              <w:jc w:val="center"/>
              <w:rPr>
                <w:rFonts w:hint="eastAsia" w:ascii="仿宋" w:hAnsi="仿宋" w:eastAsia="仿宋" w:cs="Arial"/>
                <w:kern w:val="0"/>
                <w:sz w:val="22"/>
                <w:szCs w:val="22"/>
                <w:highlight w:val="none"/>
              </w:rPr>
            </w:pPr>
          </w:p>
        </w:tc>
        <w:tc>
          <w:tcPr>
            <w:tcW w:w="0" w:type="auto"/>
            <w:vMerge w:val="continue"/>
            <w:vAlign w:val="center"/>
          </w:tcPr>
          <w:p w14:paraId="6F5700F2">
            <w:pPr>
              <w:widowControl/>
              <w:jc w:val="center"/>
              <w:rPr>
                <w:rFonts w:hint="eastAsia" w:ascii="仿宋" w:hAnsi="仿宋" w:eastAsia="仿宋" w:cs="Arial"/>
                <w:kern w:val="0"/>
                <w:sz w:val="22"/>
                <w:szCs w:val="22"/>
                <w:highlight w:val="none"/>
              </w:rPr>
            </w:pPr>
          </w:p>
        </w:tc>
        <w:tc>
          <w:tcPr>
            <w:tcW w:w="0" w:type="auto"/>
            <w:vMerge w:val="continue"/>
            <w:vAlign w:val="center"/>
          </w:tcPr>
          <w:p w14:paraId="66B373B6">
            <w:pPr>
              <w:widowControl/>
              <w:jc w:val="center"/>
              <w:rPr>
                <w:rFonts w:hint="eastAsia" w:ascii="仿宋" w:hAnsi="仿宋" w:eastAsia="仿宋" w:cs="Arial"/>
                <w:kern w:val="0"/>
                <w:sz w:val="22"/>
                <w:szCs w:val="22"/>
                <w:highlight w:val="none"/>
              </w:rPr>
            </w:pPr>
          </w:p>
        </w:tc>
        <w:tc>
          <w:tcPr>
            <w:tcW w:w="0" w:type="auto"/>
            <w:vMerge w:val="continue"/>
            <w:vAlign w:val="center"/>
          </w:tcPr>
          <w:p w14:paraId="1C0A211E">
            <w:pPr>
              <w:widowControl/>
              <w:jc w:val="center"/>
              <w:rPr>
                <w:rFonts w:hint="eastAsia" w:ascii="仿宋" w:hAnsi="仿宋" w:eastAsia="仿宋" w:cs="Arial"/>
                <w:kern w:val="0"/>
                <w:sz w:val="22"/>
                <w:szCs w:val="22"/>
                <w:highlight w:val="none"/>
              </w:rPr>
            </w:pPr>
          </w:p>
        </w:tc>
        <w:tc>
          <w:tcPr>
            <w:tcW w:w="0" w:type="auto"/>
            <w:vMerge w:val="continue"/>
            <w:vAlign w:val="center"/>
          </w:tcPr>
          <w:p w14:paraId="1814AD23">
            <w:pPr>
              <w:widowControl/>
              <w:jc w:val="center"/>
              <w:rPr>
                <w:rFonts w:hint="eastAsia" w:ascii="仿宋" w:hAnsi="仿宋" w:eastAsia="仿宋" w:cs="Arial"/>
                <w:kern w:val="0"/>
                <w:sz w:val="22"/>
                <w:szCs w:val="22"/>
                <w:highlight w:val="none"/>
              </w:rPr>
            </w:pPr>
          </w:p>
        </w:tc>
      </w:tr>
    </w:tbl>
    <w:p w14:paraId="72F65DB7">
      <w:pPr>
        <w:ind w:firstLine="420"/>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C026C49">
      <w:pPr>
        <w:rPr>
          <w:rFonts w:hint="eastAsia" w:ascii="仿宋" w:hAnsi="仿宋" w:eastAsia="仿宋"/>
          <w:sz w:val="22"/>
          <w:szCs w:val="22"/>
          <w:highlight w:val="none"/>
        </w:rPr>
      </w:pPr>
      <w:r>
        <w:rPr>
          <w:rFonts w:hint="eastAsia" w:ascii="仿宋" w:hAnsi="仿宋" w:eastAsia="仿宋"/>
          <w:sz w:val="22"/>
          <w:szCs w:val="22"/>
          <w:highlight w:val="none"/>
        </w:rPr>
        <w:t>备注：</w:t>
      </w:r>
    </w:p>
    <w:p w14:paraId="74010289">
      <w:pPr>
        <w:rPr>
          <w:rFonts w:hint="eastAsia" w:ascii="仿宋" w:hAnsi="仿宋" w:eastAsia="仿宋"/>
          <w:sz w:val="22"/>
          <w:szCs w:val="22"/>
          <w:highlight w:val="none"/>
        </w:rPr>
      </w:pPr>
      <w:r>
        <w:rPr>
          <w:rFonts w:hint="eastAsia" w:ascii="仿宋" w:hAnsi="仿宋" w:eastAsia="仿宋"/>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hint="eastAsia" w:ascii="仿宋" w:hAnsi="仿宋" w:eastAsia="仿宋"/>
          <w:sz w:val="22"/>
          <w:szCs w:val="22"/>
          <w:highlight w:val="none"/>
        </w:rPr>
      </w:pPr>
      <w:r>
        <w:rPr>
          <w:rFonts w:hint="eastAsia" w:ascii="仿宋" w:hAnsi="仿宋" w:eastAsia="仿宋"/>
          <w:sz w:val="22"/>
          <w:szCs w:val="22"/>
          <w:highlight w:val="none"/>
        </w:rPr>
        <w:t>②.投标文件中提供的证明材料复印件应复印清晰、可辨认且不得遮盖、涂抹，否则视为无效。</w:t>
      </w:r>
    </w:p>
    <w:p w14:paraId="2107AD26">
      <w:pPr>
        <w:rPr>
          <w:rFonts w:hint="eastAsia" w:ascii="仿宋" w:hAnsi="仿宋" w:eastAsia="仿宋"/>
          <w:sz w:val="22"/>
          <w:szCs w:val="22"/>
          <w:highlight w:val="none"/>
        </w:rPr>
      </w:pPr>
      <w:r>
        <w:rPr>
          <w:rFonts w:hint="eastAsia" w:ascii="仿宋" w:hAnsi="仿宋" w:eastAsia="仿宋"/>
          <w:sz w:val="22"/>
          <w:szCs w:val="22"/>
          <w:highlight w:val="none"/>
        </w:rPr>
        <w:t>③</w:t>
      </w:r>
      <w:r>
        <w:rPr>
          <w:rFonts w:ascii="仿宋" w:hAnsi="仿宋" w:eastAsia="仿宋"/>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EF15EC2">
      <w:pPr>
        <w:rPr>
          <w:rFonts w:hint="eastAsia"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EF1B3CF">
      <w:pPr>
        <w:pStyle w:val="3"/>
        <w:rPr>
          <w:rFonts w:hint="eastAsia"/>
          <w:highlight w:val="none"/>
        </w:rPr>
      </w:pPr>
    </w:p>
    <w:p w14:paraId="26FFC4D9">
      <w:pPr>
        <w:pStyle w:val="2"/>
        <w:rPr>
          <w:rFonts w:hint="eastAsia"/>
          <w:highlight w:val="none"/>
        </w:rPr>
      </w:pPr>
    </w:p>
    <w:p w14:paraId="56CC2D0F">
      <w:pPr>
        <w:pStyle w:val="8"/>
        <w:ind w:firstLine="440"/>
        <w:rPr>
          <w:rFonts w:hint="eastAsia" w:ascii="仿宋" w:hAnsi="仿宋" w:eastAsia="仿宋"/>
          <w:sz w:val="22"/>
          <w:szCs w:val="22"/>
          <w:highlight w:val="none"/>
        </w:rPr>
      </w:pPr>
    </w:p>
    <w:p w14:paraId="7192DD0F">
      <w:pPr>
        <w:pStyle w:val="13"/>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271B8C62">
      <w:pPr>
        <w:spacing w:line="360" w:lineRule="auto"/>
        <w:ind w:firstLine="444"/>
        <w:rPr>
          <w:highlight w:val="none"/>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6C0">
    <w:pPr>
      <w:pStyle w:val="6"/>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31657F51">
                          <w:pPr>
                            <w:pStyle w:val="6"/>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PRAAAAAgEAAA8AAAAAAAAAAQAgAAAAIgAAAGRycy9kb3du&#10;cmV2LnhtbFBLAQIUABQAAAAIAIdO4kCyABINzQEAAJYDAAAOAAAAAAAAAAEAIAAAACABAABkcnMv&#10;ZTJvRG9jLnhtbFBLBQYAAAAABgAGAFkBAABfBQAAAAA=&#10;">
              <v:fill on="f" focussize="0,0"/>
              <v:stroke on="f"/>
              <v:imagedata o:title=""/>
              <o:lock v:ext="edit" aspectratio="f"/>
              <v:textbox inset="0mm,0mm,0mm,0mm" style="mso-fit-shape-to-text:t;">
                <w:txbxContent>
                  <w:p w14:paraId="31657F51">
                    <w:pPr>
                      <w:pStyle w:val="6"/>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EA058C"/>
    <w:rsid w:val="02B81FC4"/>
    <w:rsid w:val="050F1BC2"/>
    <w:rsid w:val="077C5AD9"/>
    <w:rsid w:val="0AD37448"/>
    <w:rsid w:val="0CAE6912"/>
    <w:rsid w:val="0D86163D"/>
    <w:rsid w:val="113849FC"/>
    <w:rsid w:val="130523D4"/>
    <w:rsid w:val="16F94C2D"/>
    <w:rsid w:val="187327BD"/>
    <w:rsid w:val="19EF056A"/>
    <w:rsid w:val="1CC92AEB"/>
    <w:rsid w:val="1EBC3110"/>
    <w:rsid w:val="1F120F76"/>
    <w:rsid w:val="20434A8D"/>
    <w:rsid w:val="21AD1CCF"/>
    <w:rsid w:val="26630E46"/>
    <w:rsid w:val="26D608D1"/>
    <w:rsid w:val="26E03714"/>
    <w:rsid w:val="27767BD4"/>
    <w:rsid w:val="27F8683B"/>
    <w:rsid w:val="28E95C2C"/>
    <w:rsid w:val="2C387CAA"/>
    <w:rsid w:val="2CAD22EA"/>
    <w:rsid w:val="30375F5E"/>
    <w:rsid w:val="303C049E"/>
    <w:rsid w:val="31DA3AEF"/>
    <w:rsid w:val="3355074A"/>
    <w:rsid w:val="34125F30"/>
    <w:rsid w:val="348F473D"/>
    <w:rsid w:val="352C5D76"/>
    <w:rsid w:val="365732C7"/>
    <w:rsid w:val="37D746BF"/>
    <w:rsid w:val="38887767"/>
    <w:rsid w:val="3ACE64DD"/>
    <w:rsid w:val="3BA23236"/>
    <w:rsid w:val="3C337FE0"/>
    <w:rsid w:val="3FA94B93"/>
    <w:rsid w:val="462C02CC"/>
    <w:rsid w:val="49262DB0"/>
    <w:rsid w:val="4A003601"/>
    <w:rsid w:val="4A727935"/>
    <w:rsid w:val="4B9338FF"/>
    <w:rsid w:val="4DC17F4F"/>
    <w:rsid w:val="4E832A53"/>
    <w:rsid w:val="521F0CE5"/>
    <w:rsid w:val="532C3CED"/>
    <w:rsid w:val="57A20A36"/>
    <w:rsid w:val="590467EF"/>
    <w:rsid w:val="5A322975"/>
    <w:rsid w:val="5A5D23AA"/>
    <w:rsid w:val="5A6A4AC7"/>
    <w:rsid w:val="5B512DDC"/>
    <w:rsid w:val="5C4C3CFA"/>
    <w:rsid w:val="5D814092"/>
    <w:rsid w:val="5F622211"/>
    <w:rsid w:val="60200102"/>
    <w:rsid w:val="616D6A24"/>
    <w:rsid w:val="67492634"/>
    <w:rsid w:val="684626D0"/>
    <w:rsid w:val="6F6049BF"/>
    <w:rsid w:val="6F8D6E36"/>
    <w:rsid w:val="6F944668"/>
    <w:rsid w:val="6FAD74D8"/>
    <w:rsid w:val="70DC1E23"/>
    <w:rsid w:val="70F353BF"/>
    <w:rsid w:val="72616EBB"/>
    <w:rsid w:val="76984A3E"/>
    <w:rsid w:val="783F0EE9"/>
    <w:rsid w:val="7D140B97"/>
    <w:rsid w:val="7E3E236F"/>
    <w:rsid w:val="7EDD1E7C"/>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Body Text"/>
    <w:basedOn w:val="1"/>
    <w:next w:val="1"/>
    <w:qFormat/>
    <w:uiPriority w:val="0"/>
    <w:pPr>
      <w:spacing w:after="120"/>
    </w:pPr>
    <w:rPr>
      <w:szCs w:val="24"/>
    </w:rPr>
  </w:style>
  <w:style w:type="paragraph" w:styleId="5">
    <w:name w:val="Body Text Indent"/>
    <w:basedOn w:val="1"/>
    <w:unhideWhenUsed/>
    <w:qFormat/>
    <w:uiPriority w:val="0"/>
    <w:pPr>
      <w:spacing w:after="120"/>
      <w:ind w:left="420" w:leftChars="200"/>
    </w:pPr>
  </w:style>
  <w:style w:type="paragraph" w:styleId="6">
    <w:name w:val="footer"/>
    <w:basedOn w:val="1"/>
    <w:unhideWhenUsed/>
    <w:qFormat/>
    <w:uiPriority w:val="0"/>
    <w:pPr>
      <w:tabs>
        <w:tab w:val="center" w:pos="4153"/>
        <w:tab w:val="right" w:pos="8306"/>
      </w:tabs>
      <w:snapToGrid w:val="0"/>
    </w:pPr>
    <w:rPr>
      <w:sz w:val="18"/>
      <w:szCs w:val="18"/>
    </w:rPr>
  </w:style>
  <w:style w:type="paragraph" w:styleId="7">
    <w:name w:val="List"/>
    <w:basedOn w:val="1"/>
    <w:qFormat/>
    <w:uiPriority w:val="0"/>
    <w:pPr>
      <w:ind w:left="200" w:hanging="200" w:hangingChars="200"/>
      <w:contextualSpacing/>
    </w:pPr>
  </w:style>
  <w:style w:type="paragraph" w:styleId="8">
    <w:name w:val="Body Text First Indent 2"/>
    <w:basedOn w:val="5"/>
    <w:qFormat/>
    <w:uiPriority w:val="0"/>
    <w:pPr>
      <w:ind w:left="0" w:leftChars="0" w:firstLine="420"/>
    </w:pPr>
    <w:rPr>
      <w:szCs w:val="24"/>
    </w:rPr>
  </w:style>
  <w:style w:type="character" w:styleId="11">
    <w:name w:val="Hyperlink"/>
    <w:qFormat/>
    <w:uiPriority w:val="99"/>
    <w:rPr>
      <w:color w:val="0000FF"/>
      <w:u w:val="single"/>
    </w:rPr>
  </w:style>
  <w:style w:type="paragraph" w:customStyle="1" w:styleId="12">
    <w:name w:val="表格文字"/>
    <w:basedOn w:val="7"/>
    <w:next w:val="1"/>
    <w:qFormat/>
    <w:uiPriority w:val="0"/>
    <w:pPr>
      <w:ind w:firstLine="0" w:firstLineChars="0"/>
      <w:jc w:val="center"/>
    </w:pPr>
    <w:rPr>
      <w:szCs w:val="20"/>
    </w:rPr>
  </w:style>
  <w:style w:type="paragraph" w:customStyle="1" w:styleId="13">
    <w:name w:val="正文文本2"/>
    <w:basedOn w:val="1"/>
    <w:qFormat/>
    <w:uiPriority w:val="0"/>
    <w:pPr>
      <w:autoSpaceDE w:val="0"/>
      <w:autoSpaceDN w:val="0"/>
    </w:pPr>
    <w:rPr>
      <w:rFonts w:cs="Times New Roman"/>
      <w:sz w:val="20"/>
      <w:lang w:val="zh-CN"/>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5020</Words>
  <Characters>5576</Characters>
  <Lines>0</Lines>
  <Paragraphs>0</Paragraphs>
  <TotalTime>0</TotalTime>
  <ScaleCrop>false</ScaleCrop>
  <LinksUpToDate>false</LinksUpToDate>
  <CharactersWithSpaces>5590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2024-08-27T01:07:00Z</dcterms:created>
  <dc:creator>Administrator</dc:creator>
  <cp:lastModifiedBy>贺朝.</cp:lastModifiedBy>
  <dcterms:modified xsi:type="dcterms:W3CDTF">2026-03-26T08:44:52Z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1D476A8709DC4643990CD574CCC41627_12</vt:lpwstr>
  </property>
  <property fmtid="{D5CDD505-2E9C-101B-9397-08002B2CF9AE}" pid="4" name="KSOTemplateDocerSaveRecord">
    <vt:lpwstr>eyJoZGlkIjoiOTM1NjU5NTU1OTBhZTRiN2E3MWZhYWU2MjFkNTEwNzkiLCJ1c2VySWQiOiI3MzAwNjQ3NTMifQ==</vt:lpwstr>
  </property>
</Properties>
</file>