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DD14AB">
      <w:pPr>
        <w:adjustRightInd w:val="0"/>
        <w:snapToGrid w:val="0"/>
        <w:spacing w:beforeLines="100" w:afterLines="50" w:line="400" w:lineRule="exact"/>
        <w:outlineLvl w:val="1"/>
        <w:rPr>
          <w:rFonts w:hint="eastAsia" w:ascii="宋体" w:hAnsi="宋体" w:eastAsia="宋体" w:cs="宋体"/>
          <w:b/>
          <w:color w:val="000000" w:themeColor="text1"/>
          <w:sz w:val="28"/>
          <w:szCs w:val="28"/>
          <w:highlight w:val="none"/>
          <w:lang w:val="en-US" w:eastAsia="zh-CN"/>
          <w14:textFill>
            <w14:solidFill>
              <w14:schemeClr w14:val="tx1"/>
            </w14:solidFill>
          </w14:textFill>
        </w:rPr>
      </w:pPr>
      <w:bookmarkStart w:id="0" w:name="_GoBack"/>
      <w:r>
        <w:rPr>
          <w:rFonts w:hint="eastAsia" w:ascii="宋体" w:hAnsi="宋体" w:eastAsia="宋体" w:cs="宋体"/>
          <w:b/>
          <w:color w:val="000000" w:themeColor="text1"/>
          <w:sz w:val="28"/>
          <w:szCs w:val="28"/>
          <w:highlight w:val="none"/>
          <w:lang w:val="en-US" w:eastAsia="zh-CN"/>
          <w14:textFill>
            <w14:solidFill>
              <w14:schemeClr w14:val="tx1"/>
            </w14:solidFill>
          </w14:textFill>
        </w:rPr>
        <w:t>采购公告附件：</w:t>
      </w:r>
    </w:p>
    <w:bookmarkEnd w:id="0"/>
    <w:tbl>
      <w:tblPr>
        <w:tblStyle w:val="11"/>
        <w:tblW w:w="14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95"/>
        <w:gridCol w:w="589"/>
        <w:gridCol w:w="4434"/>
        <w:gridCol w:w="501"/>
        <w:gridCol w:w="501"/>
        <w:gridCol w:w="873"/>
        <w:gridCol w:w="973"/>
        <w:gridCol w:w="1288"/>
        <w:gridCol w:w="2674"/>
        <w:gridCol w:w="1528"/>
      </w:tblGrid>
      <w:tr w14:paraId="2487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39" w:hRule="atLeast"/>
          <w:jc w:val="center"/>
        </w:trPr>
        <w:tc>
          <w:tcPr>
            <w:tcW w:w="0" w:type="auto"/>
            <w:shd w:val="clear" w:color="auto" w:fill="auto"/>
            <w:vAlign w:val="center"/>
          </w:tcPr>
          <w:p w14:paraId="2A876B63">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0" w:type="auto"/>
            <w:shd w:val="clear" w:color="auto" w:fill="auto"/>
            <w:vAlign w:val="center"/>
          </w:tcPr>
          <w:p w14:paraId="3A43AA53">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物资名称</w:t>
            </w:r>
          </w:p>
        </w:tc>
        <w:tc>
          <w:tcPr>
            <w:tcW w:w="4434" w:type="dxa"/>
            <w:shd w:val="clear" w:color="auto" w:fill="auto"/>
            <w:vAlign w:val="center"/>
          </w:tcPr>
          <w:p w14:paraId="0ABB35BB">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主要技术要求</w:t>
            </w:r>
          </w:p>
        </w:tc>
        <w:tc>
          <w:tcPr>
            <w:tcW w:w="501" w:type="dxa"/>
            <w:shd w:val="clear" w:color="auto" w:fill="auto"/>
            <w:vAlign w:val="center"/>
          </w:tcPr>
          <w:p w14:paraId="14E9993C">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0" w:type="auto"/>
            <w:shd w:val="clear" w:color="auto" w:fill="auto"/>
            <w:vAlign w:val="center"/>
          </w:tcPr>
          <w:p w14:paraId="6EDC0D4A">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0" w:type="auto"/>
            <w:shd w:val="clear" w:color="auto" w:fill="FF0000"/>
            <w:vAlign w:val="center"/>
          </w:tcPr>
          <w:p w14:paraId="1113AD1F">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交货日期</w:t>
            </w:r>
          </w:p>
        </w:tc>
        <w:tc>
          <w:tcPr>
            <w:tcW w:w="973" w:type="dxa"/>
            <w:shd w:val="clear" w:color="auto" w:fill="auto"/>
            <w:vAlign w:val="center"/>
          </w:tcPr>
          <w:p w14:paraId="3E2D462B">
            <w:pPr>
              <w:widowControl/>
              <w:jc w:val="both"/>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质保期（不低于）</w:t>
            </w:r>
          </w:p>
        </w:tc>
        <w:tc>
          <w:tcPr>
            <w:tcW w:w="1288" w:type="dxa"/>
            <w:shd w:val="clear" w:color="auto" w:fill="auto"/>
            <w:vAlign w:val="center"/>
          </w:tcPr>
          <w:p w14:paraId="6D826084">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交货地点</w:t>
            </w:r>
          </w:p>
        </w:tc>
        <w:tc>
          <w:tcPr>
            <w:tcW w:w="2674" w:type="dxa"/>
            <w:shd w:val="clear" w:color="auto" w:fill="auto"/>
            <w:vAlign w:val="center"/>
          </w:tcPr>
          <w:p w14:paraId="3754595B">
            <w:pPr>
              <w:widowControl/>
              <w:jc w:val="center"/>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专用业绩要求</w:t>
            </w:r>
          </w:p>
        </w:tc>
        <w:tc>
          <w:tcPr>
            <w:tcW w:w="1528" w:type="dxa"/>
            <w:shd w:val="clear" w:color="auto" w:fill="auto"/>
            <w:vAlign w:val="center"/>
          </w:tcPr>
          <w:p w14:paraId="5AC17E31">
            <w:pPr>
              <w:widowControl/>
              <w:jc w:val="center"/>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专用资格要求</w:t>
            </w:r>
          </w:p>
        </w:tc>
      </w:tr>
      <w:tr w14:paraId="695A2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restart"/>
            <w:shd w:val="clear" w:color="auto" w:fill="auto"/>
            <w:vAlign w:val="center"/>
          </w:tcPr>
          <w:p w14:paraId="6D5311B3">
            <w:pPr>
              <w:widowControl/>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lang w:eastAsia="zh-CN"/>
              </w:rPr>
              <w:t>通讯模块等组件采购项目</w:t>
            </w:r>
          </w:p>
        </w:tc>
        <w:tc>
          <w:tcPr>
            <w:tcW w:w="0" w:type="auto"/>
            <w:shd w:val="clear" w:color="auto" w:fill="auto"/>
            <w:vAlign w:val="center"/>
          </w:tcPr>
          <w:p w14:paraId="0C1248C0">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智能箱体</w:t>
            </w:r>
          </w:p>
        </w:tc>
        <w:tc>
          <w:tcPr>
            <w:tcW w:w="4434" w:type="dxa"/>
            <w:shd w:val="clear" w:color="auto" w:fill="auto"/>
            <w:vAlign w:val="center"/>
          </w:tcPr>
          <w:p w14:paraId="469B231D">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1.尺寸:≤470mm*365mm*190mm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2.重量:≤4.Okg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3.防护等级≥IP67</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4.通风口数量：2个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5.任务管理:支持无人机勘察任务的新建、导入、编辑、查询、删除等功能</w:t>
            </w:r>
          </w:p>
        </w:tc>
        <w:tc>
          <w:tcPr>
            <w:tcW w:w="501" w:type="dxa"/>
            <w:shd w:val="clear" w:color="auto" w:fill="auto"/>
            <w:vAlign w:val="center"/>
          </w:tcPr>
          <w:p w14:paraId="713FD6EF">
            <w:pPr>
              <w:widowControl/>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auto" w:fill="auto"/>
            <w:vAlign w:val="center"/>
          </w:tcPr>
          <w:p w14:paraId="7F7CF98A">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35</w:t>
            </w:r>
          </w:p>
        </w:tc>
        <w:tc>
          <w:tcPr>
            <w:tcW w:w="0" w:type="auto"/>
            <w:vMerge w:val="restart"/>
            <w:shd w:val="clear" w:color="auto" w:fill="FF0000"/>
            <w:vAlign w:val="center"/>
          </w:tcPr>
          <w:p w14:paraId="17882DC6">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接到供货通知后</w:t>
            </w:r>
            <w:r>
              <w:rPr>
                <w:rFonts w:hint="eastAsia" w:ascii="宋体" w:hAnsi="宋体" w:eastAsia="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u w:val="single"/>
              </w:rPr>
              <w:t>0</w:t>
            </w:r>
            <w:r>
              <w:rPr>
                <w:rFonts w:hint="eastAsia" w:ascii="宋体" w:hAnsi="宋体" w:eastAsia="宋体" w:cs="宋体"/>
                <w:color w:val="auto"/>
                <w:kern w:val="0"/>
                <w:sz w:val="24"/>
                <w:szCs w:val="24"/>
                <w:highlight w:val="none"/>
              </w:rPr>
              <w:t>日内</w:t>
            </w:r>
          </w:p>
        </w:tc>
        <w:tc>
          <w:tcPr>
            <w:tcW w:w="973" w:type="dxa"/>
            <w:vMerge w:val="restart"/>
            <w:shd w:val="clear" w:color="auto" w:fill="auto"/>
            <w:vAlign w:val="center"/>
          </w:tcPr>
          <w:p w14:paraId="3E700AC8">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36个月</w:t>
            </w:r>
          </w:p>
        </w:tc>
        <w:tc>
          <w:tcPr>
            <w:tcW w:w="1288" w:type="dxa"/>
            <w:vMerge w:val="restart"/>
            <w:shd w:val="clear" w:color="auto" w:fill="auto"/>
            <w:vAlign w:val="center"/>
          </w:tcPr>
          <w:p w14:paraId="10CA1905">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买方指定地点地面交货</w:t>
            </w:r>
          </w:p>
        </w:tc>
        <w:tc>
          <w:tcPr>
            <w:tcW w:w="2674" w:type="dxa"/>
            <w:vMerge w:val="restart"/>
            <w:shd w:val="clear" w:color="auto" w:fill="auto"/>
            <w:vAlign w:val="center"/>
          </w:tcPr>
          <w:p w14:paraId="57D6F7E6">
            <w:pPr>
              <w:jc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rPr>
              <w:t>业绩要求</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2023年1月1日至投标截止日止，完成过</w:t>
            </w:r>
            <w:r>
              <w:rPr>
                <w:rFonts w:hint="eastAsia" w:ascii="宋体" w:hAnsi="宋体" w:eastAsia="宋体" w:cs="宋体"/>
                <w:b w:val="0"/>
                <w:bCs w:val="0"/>
                <w:color w:val="auto"/>
                <w:kern w:val="0"/>
                <w:sz w:val="24"/>
                <w:szCs w:val="24"/>
                <w:highlight w:val="none"/>
                <w:lang w:val="en-US" w:eastAsia="zh-CN"/>
              </w:rPr>
              <w:t>无人机或无人机配件</w:t>
            </w:r>
            <w:r>
              <w:rPr>
                <w:rFonts w:hint="eastAsia" w:ascii="宋体" w:hAnsi="宋体" w:eastAsia="宋体" w:cs="宋体"/>
                <w:b w:val="0"/>
                <w:bCs w:val="0"/>
                <w:color w:val="auto"/>
                <w:kern w:val="0"/>
                <w:sz w:val="24"/>
                <w:szCs w:val="24"/>
                <w:highlight w:val="none"/>
              </w:rPr>
              <w:t>等销售业绩不少于1份，累计金额不低于</w:t>
            </w:r>
            <w:r>
              <w:rPr>
                <w:rFonts w:hint="eastAsia" w:ascii="宋体" w:hAnsi="宋体" w:eastAsia="宋体" w:cs="宋体"/>
                <w:b w:val="0"/>
                <w:bCs w:val="0"/>
                <w:color w:val="auto"/>
                <w:kern w:val="0"/>
                <w:sz w:val="24"/>
                <w:szCs w:val="24"/>
                <w:highlight w:val="none"/>
                <w:lang w:val="en-US" w:eastAsia="zh-CN"/>
              </w:rPr>
              <w:t>50</w:t>
            </w:r>
            <w:r>
              <w:rPr>
                <w:rFonts w:hint="eastAsia" w:ascii="宋体" w:hAnsi="宋体" w:eastAsia="宋体" w:cs="宋体"/>
                <w:b w:val="0"/>
                <w:bCs w:val="0"/>
                <w:color w:val="auto"/>
                <w:kern w:val="0"/>
                <w:sz w:val="24"/>
                <w:szCs w:val="24"/>
                <w:highlight w:val="none"/>
              </w:rPr>
              <w:t>万元。注:业绩必须提供对应的合同复印件、发票和相应查验截图。</w:t>
            </w:r>
          </w:p>
        </w:tc>
        <w:tc>
          <w:tcPr>
            <w:tcW w:w="1528" w:type="dxa"/>
            <w:vMerge w:val="restart"/>
            <w:shd w:val="clear" w:color="auto" w:fill="auto"/>
            <w:vAlign w:val="center"/>
          </w:tcPr>
          <w:p w14:paraId="2D3C4CA8">
            <w:pPr>
              <w:jc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rPr>
              <w:t>备注</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sz w:val="24"/>
                <w:szCs w:val="24"/>
                <w:highlight w:val="none"/>
                <w:lang w:val="en-US" w:eastAsia="zh-CN"/>
              </w:rPr>
              <w:t>具备《民用无人驾驶航空器运营合格证》</w:t>
            </w:r>
          </w:p>
        </w:tc>
      </w:tr>
      <w:tr w14:paraId="628F1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0" w:type="auto"/>
            <w:vMerge w:val="continue"/>
            <w:shd w:val="clear" w:color="auto" w:fill="auto"/>
            <w:vAlign w:val="center"/>
          </w:tcPr>
          <w:p w14:paraId="546097DF">
            <w:pPr>
              <w:widowControl/>
              <w:jc w:val="center"/>
              <w:rPr>
                <w:rFonts w:hint="eastAsia" w:ascii="宋体" w:hAnsi="宋体" w:eastAsia="宋体" w:cs="宋体"/>
                <w:color w:val="auto"/>
                <w:kern w:val="0"/>
                <w:sz w:val="24"/>
                <w:szCs w:val="24"/>
                <w:highlight w:val="none"/>
                <w:lang w:eastAsia="zh-CN"/>
              </w:rPr>
            </w:pPr>
          </w:p>
        </w:tc>
        <w:tc>
          <w:tcPr>
            <w:tcW w:w="0" w:type="auto"/>
            <w:shd w:val="clear" w:color="auto" w:fill="auto"/>
            <w:vAlign w:val="center"/>
          </w:tcPr>
          <w:p w14:paraId="0E22AA28">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充电模块</w:t>
            </w:r>
          </w:p>
        </w:tc>
        <w:tc>
          <w:tcPr>
            <w:tcW w:w="4434" w:type="dxa"/>
            <w:shd w:val="clear" w:color="auto" w:fill="auto"/>
            <w:vAlign w:val="center"/>
          </w:tcPr>
          <w:p w14:paraId="6C845794">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1.支持LiPo4S电池类型；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2.同时充电电池数量:≥3块；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3.充电电压:≤17.6V；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4.充电电流:≤10A；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5.额定功率:≤200W；</w:t>
            </w:r>
          </w:p>
        </w:tc>
        <w:tc>
          <w:tcPr>
            <w:tcW w:w="501" w:type="dxa"/>
            <w:shd w:val="clear" w:color="auto" w:fill="auto"/>
            <w:vAlign w:val="center"/>
          </w:tcPr>
          <w:p w14:paraId="5E85B2B2">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个</w:t>
            </w:r>
          </w:p>
        </w:tc>
        <w:tc>
          <w:tcPr>
            <w:tcW w:w="0" w:type="auto"/>
            <w:shd w:val="clear" w:color="auto" w:fill="auto"/>
            <w:vAlign w:val="center"/>
          </w:tcPr>
          <w:p w14:paraId="0E9C523C">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35</w:t>
            </w:r>
          </w:p>
        </w:tc>
        <w:tc>
          <w:tcPr>
            <w:tcW w:w="0" w:type="auto"/>
            <w:vMerge w:val="continue"/>
            <w:shd w:val="clear" w:color="auto" w:fill="FF0000"/>
            <w:vAlign w:val="center"/>
          </w:tcPr>
          <w:p w14:paraId="22A40198">
            <w:pPr>
              <w:widowControl/>
              <w:jc w:val="center"/>
              <w:rPr>
                <w:rFonts w:hint="eastAsia" w:ascii="宋体" w:hAnsi="宋体" w:eastAsia="宋体" w:cs="宋体"/>
                <w:color w:val="auto"/>
                <w:kern w:val="0"/>
                <w:sz w:val="24"/>
                <w:szCs w:val="24"/>
                <w:highlight w:val="none"/>
              </w:rPr>
            </w:pPr>
          </w:p>
        </w:tc>
        <w:tc>
          <w:tcPr>
            <w:tcW w:w="973" w:type="dxa"/>
            <w:vMerge w:val="continue"/>
            <w:shd w:val="clear" w:color="auto" w:fill="auto"/>
            <w:vAlign w:val="center"/>
          </w:tcPr>
          <w:p w14:paraId="188A9D78">
            <w:pPr>
              <w:jc w:val="center"/>
              <w:rPr>
                <w:rFonts w:hint="eastAsia" w:ascii="宋体" w:hAnsi="宋体" w:eastAsia="宋体" w:cs="宋体"/>
                <w:color w:val="auto"/>
                <w:kern w:val="0"/>
                <w:sz w:val="24"/>
                <w:szCs w:val="24"/>
                <w:highlight w:val="none"/>
              </w:rPr>
            </w:pPr>
          </w:p>
        </w:tc>
        <w:tc>
          <w:tcPr>
            <w:tcW w:w="1288" w:type="dxa"/>
            <w:vMerge w:val="continue"/>
            <w:shd w:val="clear" w:color="auto" w:fill="auto"/>
            <w:vAlign w:val="center"/>
          </w:tcPr>
          <w:p w14:paraId="0C63821F">
            <w:pPr>
              <w:jc w:val="center"/>
              <w:rPr>
                <w:rFonts w:hint="eastAsia" w:ascii="宋体" w:hAnsi="宋体" w:eastAsia="宋体" w:cs="宋体"/>
                <w:color w:val="auto"/>
                <w:kern w:val="0"/>
                <w:sz w:val="24"/>
                <w:szCs w:val="24"/>
                <w:highlight w:val="none"/>
              </w:rPr>
            </w:pPr>
          </w:p>
        </w:tc>
        <w:tc>
          <w:tcPr>
            <w:tcW w:w="2674" w:type="dxa"/>
            <w:vMerge w:val="continue"/>
            <w:shd w:val="clear" w:color="auto" w:fill="auto"/>
            <w:vAlign w:val="center"/>
          </w:tcPr>
          <w:p w14:paraId="4B5796B2">
            <w:pPr>
              <w:jc w:val="center"/>
              <w:rPr>
                <w:rFonts w:hint="eastAsia" w:ascii="宋体" w:hAnsi="宋体" w:eastAsia="宋体" w:cs="宋体"/>
                <w:color w:val="auto"/>
                <w:kern w:val="0"/>
                <w:sz w:val="24"/>
                <w:szCs w:val="24"/>
                <w:highlight w:val="none"/>
              </w:rPr>
            </w:pPr>
          </w:p>
        </w:tc>
        <w:tc>
          <w:tcPr>
            <w:tcW w:w="1528" w:type="dxa"/>
            <w:vMerge w:val="continue"/>
            <w:shd w:val="clear" w:color="auto" w:fill="auto"/>
            <w:vAlign w:val="center"/>
          </w:tcPr>
          <w:p w14:paraId="6EB729D9">
            <w:pPr>
              <w:jc w:val="center"/>
              <w:rPr>
                <w:rFonts w:hint="eastAsia" w:ascii="宋体" w:hAnsi="宋体" w:eastAsia="宋体" w:cs="宋体"/>
                <w:color w:val="auto"/>
                <w:kern w:val="0"/>
                <w:sz w:val="24"/>
                <w:szCs w:val="24"/>
                <w:highlight w:val="none"/>
              </w:rPr>
            </w:pPr>
          </w:p>
        </w:tc>
      </w:tr>
      <w:tr w14:paraId="0BD9D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0" w:type="auto"/>
            <w:vMerge w:val="continue"/>
            <w:shd w:val="clear" w:color="auto" w:fill="auto"/>
            <w:vAlign w:val="center"/>
          </w:tcPr>
          <w:p w14:paraId="621354E8">
            <w:pPr>
              <w:widowControl/>
              <w:jc w:val="center"/>
              <w:rPr>
                <w:rFonts w:hint="eastAsia" w:ascii="宋体" w:hAnsi="宋体" w:eastAsia="宋体" w:cs="宋体"/>
                <w:color w:val="auto"/>
                <w:kern w:val="0"/>
                <w:sz w:val="24"/>
                <w:szCs w:val="24"/>
                <w:highlight w:val="none"/>
                <w:lang w:eastAsia="zh-CN"/>
              </w:rPr>
            </w:pPr>
          </w:p>
        </w:tc>
        <w:tc>
          <w:tcPr>
            <w:tcW w:w="0" w:type="auto"/>
            <w:shd w:val="clear" w:color="auto" w:fill="auto"/>
            <w:vAlign w:val="center"/>
          </w:tcPr>
          <w:p w14:paraId="23BF3918">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通讯模块</w:t>
            </w:r>
          </w:p>
        </w:tc>
        <w:tc>
          <w:tcPr>
            <w:tcW w:w="4434" w:type="dxa"/>
            <w:shd w:val="clear" w:color="auto" w:fill="auto"/>
            <w:vAlign w:val="center"/>
          </w:tcPr>
          <w:p w14:paraId="115809DB">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1.支持无线5G网络；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2.支持WIFI5网络标准；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3.最大连接数≥10个；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4.支持移动，联通，电信三大运营商；</w:t>
            </w:r>
          </w:p>
        </w:tc>
        <w:tc>
          <w:tcPr>
            <w:tcW w:w="501" w:type="dxa"/>
            <w:shd w:val="clear" w:color="auto" w:fill="auto"/>
            <w:vAlign w:val="center"/>
          </w:tcPr>
          <w:p w14:paraId="63F1E4C4">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个</w:t>
            </w:r>
          </w:p>
        </w:tc>
        <w:tc>
          <w:tcPr>
            <w:tcW w:w="0" w:type="auto"/>
            <w:shd w:val="clear" w:color="auto" w:fill="auto"/>
            <w:vAlign w:val="center"/>
          </w:tcPr>
          <w:p w14:paraId="457EAECC">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35</w:t>
            </w:r>
          </w:p>
        </w:tc>
        <w:tc>
          <w:tcPr>
            <w:tcW w:w="0" w:type="auto"/>
            <w:vMerge w:val="continue"/>
            <w:shd w:val="clear" w:color="auto" w:fill="FF0000"/>
            <w:vAlign w:val="center"/>
          </w:tcPr>
          <w:p w14:paraId="24EAE950">
            <w:pPr>
              <w:widowControl/>
              <w:jc w:val="center"/>
              <w:rPr>
                <w:rFonts w:hint="eastAsia" w:ascii="宋体" w:hAnsi="宋体" w:eastAsia="宋体" w:cs="宋体"/>
                <w:color w:val="auto"/>
                <w:kern w:val="0"/>
                <w:sz w:val="24"/>
                <w:szCs w:val="24"/>
                <w:highlight w:val="none"/>
              </w:rPr>
            </w:pPr>
          </w:p>
        </w:tc>
        <w:tc>
          <w:tcPr>
            <w:tcW w:w="973" w:type="dxa"/>
            <w:vMerge w:val="continue"/>
            <w:shd w:val="clear" w:color="auto" w:fill="auto"/>
            <w:vAlign w:val="center"/>
          </w:tcPr>
          <w:p w14:paraId="486FCAF7">
            <w:pPr>
              <w:jc w:val="center"/>
              <w:rPr>
                <w:rFonts w:hint="eastAsia" w:ascii="宋体" w:hAnsi="宋体" w:eastAsia="宋体" w:cs="宋体"/>
                <w:color w:val="auto"/>
                <w:kern w:val="0"/>
                <w:sz w:val="24"/>
                <w:szCs w:val="24"/>
                <w:highlight w:val="none"/>
              </w:rPr>
            </w:pPr>
          </w:p>
        </w:tc>
        <w:tc>
          <w:tcPr>
            <w:tcW w:w="1288" w:type="dxa"/>
            <w:vMerge w:val="continue"/>
            <w:shd w:val="clear" w:color="auto" w:fill="auto"/>
            <w:vAlign w:val="center"/>
          </w:tcPr>
          <w:p w14:paraId="01FAEFFA">
            <w:pPr>
              <w:jc w:val="center"/>
              <w:rPr>
                <w:rFonts w:hint="eastAsia" w:ascii="宋体" w:hAnsi="宋体" w:eastAsia="宋体" w:cs="宋体"/>
                <w:color w:val="auto"/>
                <w:kern w:val="0"/>
                <w:sz w:val="24"/>
                <w:szCs w:val="24"/>
                <w:highlight w:val="none"/>
              </w:rPr>
            </w:pPr>
          </w:p>
        </w:tc>
        <w:tc>
          <w:tcPr>
            <w:tcW w:w="2674" w:type="dxa"/>
            <w:vMerge w:val="continue"/>
            <w:shd w:val="clear" w:color="auto" w:fill="auto"/>
            <w:vAlign w:val="center"/>
          </w:tcPr>
          <w:p w14:paraId="70BF497A">
            <w:pPr>
              <w:jc w:val="center"/>
              <w:rPr>
                <w:rFonts w:hint="eastAsia" w:ascii="宋体" w:hAnsi="宋体" w:eastAsia="宋体" w:cs="宋体"/>
                <w:color w:val="auto"/>
                <w:kern w:val="0"/>
                <w:sz w:val="24"/>
                <w:szCs w:val="24"/>
                <w:highlight w:val="none"/>
              </w:rPr>
            </w:pPr>
          </w:p>
        </w:tc>
        <w:tc>
          <w:tcPr>
            <w:tcW w:w="1528" w:type="dxa"/>
            <w:vMerge w:val="continue"/>
            <w:shd w:val="clear" w:color="auto" w:fill="auto"/>
            <w:vAlign w:val="center"/>
          </w:tcPr>
          <w:p w14:paraId="19C8C2CF">
            <w:pPr>
              <w:jc w:val="center"/>
              <w:rPr>
                <w:rFonts w:hint="eastAsia" w:ascii="宋体" w:hAnsi="宋体" w:eastAsia="宋体" w:cs="宋体"/>
                <w:color w:val="auto"/>
                <w:kern w:val="0"/>
                <w:sz w:val="24"/>
                <w:szCs w:val="24"/>
                <w:highlight w:val="none"/>
              </w:rPr>
            </w:pPr>
          </w:p>
        </w:tc>
      </w:tr>
      <w:tr w14:paraId="7B87E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0" w:type="auto"/>
            <w:vMerge w:val="continue"/>
            <w:shd w:val="clear" w:color="auto" w:fill="auto"/>
            <w:vAlign w:val="center"/>
          </w:tcPr>
          <w:p w14:paraId="305B91D8">
            <w:pPr>
              <w:widowControl/>
              <w:jc w:val="center"/>
              <w:rPr>
                <w:rFonts w:hint="eastAsia" w:ascii="宋体" w:hAnsi="宋体" w:eastAsia="宋体" w:cs="宋体"/>
                <w:color w:val="auto"/>
                <w:kern w:val="0"/>
                <w:sz w:val="24"/>
                <w:szCs w:val="24"/>
                <w:highlight w:val="none"/>
                <w:lang w:eastAsia="zh-CN"/>
              </w:rPr>
            </w:pPr>
          </w:p>
        </w:tc>
        <w:tc>
          <w:tcPr>
            <w:tcW w:w="0" w:type="auto"/>
            <w:shd w:val="clear" w:color="auto" w:fill="auto"/>
            <w:vAlign w:val="center"/>
          </w:tcPr>
          <w:p w14:paraId="79D9008D">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显示设备</w:t>
            </w:r>
          </w:p>
        </w:tc>
        <w:tc>
          <w:tcPr>
            <w:tcW w:w="4434" w:type="dxa"/>
            <w:shd w:val="clear" w:color="auto" w:fill="auto"/>
            <w:vAlign w:val="center"/>
          </w:tcPr>
          <w:p w14:paraId="05356FEE">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1.尺寸:≥1.5寸；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2.材质:高清液晶屏；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3.分辨率:≥1280*800；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4.配置实体设置按键；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5.具备充电提示音；</w:t>
            </w:r>
          </w:p>
        </w:tc>
        <w:tc>
          <w:tcPr>
            <w:tcW w:w="501" w:type="dxa"/>
            <w:shd w:val="clear" w:color="auto" w:fill="auto"/>
            <w:vAlign w:val="center"/>
          </w:tcPr>
          <w:p w14:paraId="21D12B7D">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个</w:t>
            </w:r>
          </w:p>
        </w:tc>
        <w:tc>
          <w:tcPr>
            <w:tcW w:w="0" w:type="auto"/>
            <w:shd w:val="clear" w:color="auto" w:fill="auto"/>
            <w:vAlign w:val="center"/>
          </w:tcPr>
          <w:p w14:paraId="52B1D182">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35</w:t>
            </w:r>
          </w:p>
        </w:tc>
        <w:tc>
          <w:tcPr>
            <w:tcW w:w="0" w:type="auto"/>
            <w:vMerge w:val="continue"/>
            <w:shd w:val="clear" w:color="auto" w:fill="FF0000"/>
            <w:vAlign w:val="center"/>
          </w:tcPr>
          <w:p w14:paraId="4FADFE6D">
            <w:pPr>
              <w:widowControl/>
              <w:jc w:val="center"/>
              <w:rPr>
                <w:rFonts w:hint="eastAsia" w:ascii="宋体" w:hAnsi="宋体" w:eastAsia="宋体" w:cs="宋体"/>
                <w:color w:val="auto"/>
                <w:kern w:val="0"/>
                <w:sz w:val="24"/>
                <w:szCs w:val="24"/>
                <w:highlight w:val="none"/>
              </w:rPr>
            </w:pPr>
          </w:p>
        </w:tc>
        <w:tc>
          <w:tcPr>
            <w:tcW w:w="973" w:type="dxa"/>
            <w:vMerge w:val="continue"/>
            <w:shd w:val="clear" w:color="auto" w:fill="auto"/>
            <w:vAlign w:val="center"/>
          </w:tcPr>
          <w:p w14:paraId="28F052CF">
            <w:pPr>
              <w:jc w:val="center"/>
              <w:rPr>
                <w:rFonts w:hint="eastAsia" w:ascii="宋体" w:hAnsi="宋体" w:eastAsia="宋体" w:cs="宋体"/>
                <w:color w:val="auto"/>
                <w:kern w:val="0"/>
                <w:sz w:val="24"/>
                <w:szCs w:val="24"/>
                <w:highlight w:val="none"/>
              </w:rPr>
            </w:pPr>
          </w:p>
        </w:tc>
        <w:tc>
          <w:tcPr>
            <w:tcW w:w="1288" w:type="dxa"/>
            <w:vMerge w:val="continue"/>
            <w:shd w:val="clear" w:color="auto" w:fill="auto"/>
            <w:vAlign w:val="center"/>
          </w:tcPr>
          <w:p w14:paraId="73EC4DF9">
            <w:pPr>
              <w:jc w:val="center"/>
              <w:rPr>
                <w:rFonts w:hint="eastAsia" w:ascii="宋体" w:hAnsi="宋体" w:eastAsia="宋体" w:cs="宋体"/>
                <w:color w:val="auto"/>
                <w:kern w:val="0"/>
                <w:sz w:val="24"/>
                <w:szCs w:val="24"/>
                <w:highlight w:val="none"/>
              </w:rPr>
            </w:pPr>
          </w:p>
        </w:tc>
        <w:tc>
          <w:tcPr>
            <w:tcW w:w="2674" w:type="dxa"/>
            <w:vMerge w:val="continue"/>
            <w:shd w:val="clear" w:color="auto" w:fill="auto"/>
            <w:vAlign w:val="center"/>
          </w:tcPr>
          <w:p w14:paraId="7A93C17D">
            <w:pPr>
              <w:jc w:val="center"/>
              <w:rPr>
                <w:rFonts w:hint="eastAsia" w:ascii="宋体" w:hAnsi="宋体" w:eastAsia="宋体" w:cs="宋体"/>
                <w:color w:val="auto"/>
                <w:kern w:val="0"/>
                <w:sz w:val="24"/>
                <w:szCs w:val="24"/>
                <w:highlight w:val="none"/>
              </w:rPr>
            </w:pPr>
          </w:p>
        </w:tc>
        <w:tc>
          <w:tcPr>
            <w:tcW w:w="1528" w:type="dxa"/>
            <w:vMerge w:val="continue"/>
            <w:shd w:val="clear" w:color="auto" w:fill="auto"/>
            <w:vAlign w:val="center"/>
          </w:tcPr>
          <w:p w14:paraId="738D44F9">
            <w:pPr>
              <w:jc w:val="center"/>
              <w:rPr>
                <w:rFonts w:hint="eastAsia" w:ascii="宋体" w:hAnsi="宋体" w:eastAsia="宋体" w:cs="宋体"/>
                <w:color w:val="auto"/>
                <w:kern w:val="0"/>
                <w:sz w:val="24"/>
                <w:szCs w:val="24"/>
                <w:highlight w:val="none"/>
              </w:rPr>
            </w:pPr>
          </w:p>
        </w:tc>
      </w:tr>
    </w:tbl>
    <w:p w14:paraId="37E9BE5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具体供货不局限于上述产品。应包括上述产品相关配件，类似升级产品。</w:t>
      </w:r>
    </w:p>
    <w:p w14:paraId="0427109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p w14:paraId="4B24CEF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1.取得《国家电网有限公司集中规模招标采购供应商资质能力核实证明》</w:t>
      </w:r>
      <w:r>
        <w:rPr>
          <w:rFonts w:hint="eastAsia" w:ascii="宋体" w:hAnsi="宋体" w:eastAsia="宋体" w:cs="宋体"/>
          <w:color w:val="000000" w:themeColor="text1"/>
          <w:sz w:val="24"/>
          <w:szCs w:val="24"/>
          <w:highlight w:val="none"/>
          <w:lang w:val="en-US" w:eastAsia="zh-CN"/>
          <w14:textFill>
            <w14:solidFill>
              <w14:schemeClr w14:val="tx1"/>
            </w14:solidFill>
          </w14:textFill>
        </w:rPr>
        <w:t>或《国网智能科技股份有限公司</w:t>
      </w:r>
      <w:r>
        <w:rPr>
          <w:rFonts w:hint="eastAsia" w:ascii="宋体" w:hAnsi="宋体" w:eastAsia="宋体" w:cs="宋体"/>
          <w:color w:val="000000" w:themeColor="text1"/>
          <w:sz w:val="24"/>
          <w:szCs w:val="24"/>
          <w:highlight w:val="none"/>
          <w14:textFill>
            <w14:solidFill>
              <w14:schemeClr w14:val="tx1"/>
            </w14:solidFill>
          </w14:textFill>
        </w:rPr>
        <w:t>集中规模招标采购供应商资质能力核实证明</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（以下简称《核实证明》）的</w:t>
      </w:r>
      <w:r>
        <w:rPr>
          <w:rFonts w:hint="eastAsia" w:ascii="宋体" w:hAnsi="宋体" w:eastAsia="宋体" w:cs="宋体"/>
          <w:color w:val="000000" w:themeColor="text1"/>
          <w:sz w:val="24"/>
          <w:szCs w:val="24"/>
          <w:highlight w:val="none"/>
          <w:lang w:eastAsia="zh-CN"/>
          <w14:textFill>
            <w14:solidFill>
              <w14:schemeClr w14:val="tx1"/>
            </w14:solidFill>
          </w14:textFill>
        </w:rPr>
        <w:t>应答人</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可</w:t>
      </w:r>
      <w:r>
        <w:rPr>
          <w:rFonts w:hint="eastAsia" w:ascii="宋体" w:hAnsi="宋体" w:eastAsia="宋体" w:cs="宋体"/>
          <w:color w:val="000000" w:themeColor="text1"/>
          <w:sz w:val="24"/>
          <w:szCs w:val="24"/>
          <w:highlight w:val="none"/>
          <w14:textFill>
            <w14:solidFill>
              <w14:schemeClr w14:val="tx1"/>
            </w14:solidFill>
          </w14:textFill>
        </w:rPr>
        <w:t>按要求使用该《核实证明》。《核实证明》含有的业绩、试验报告不能满足</w:t>
      </w:r>
      <w:r>
        <w:rPr>
          <w:rFonts w:hint="eastAsia" w:ascii="宋体" w:hAnsi="宋体" w:eastAsia="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要求的，需要提供满足要求的业绩、试验报告等证明材料；未取得《核实证明》的，</w:t>
      </w:r>
      <w:r>
        <w:rPr>
          <w:rFonts w:hint="eastAsia" w:ascii="宋体" w:hAnsi="宋体" w:eastAsia="宋体" w:cs="宋体"/>
          <w:color w:val="000000" w:themeColor="text1"/>
          <w:sz w:val="24"/>
          <w:szCs w:val="24"/>
          <w:highlight w:val="none"/>
          <w:lang w:eastAsia="zh-CN"/>
          <w14:textFill>
            <w14:solidFill>
              <w14:schemeClr w14:val="tx1"/>
            </w14:solidFill>
          </w14:textFill>
        </w:rPr>
        <w:t>应答人</w:t>
      </w:r>
      <w:r>
        <w:rPr>
          <w:rFonts w:hint="eastAsia" w:ascii="宋体" w:hAnsi="宋体" w:eastAsia="宋体" w:cs="宋体"/>
          <w:color w:val="000000" w:themeColor="text1"/>
          <w:sz w:val="24"/>
          <w:szCs w:val="24"/>
          <w:highlight w:val="none"/>
          <w14:textFill>
            <w14:solidFill>
              <w14:schemeClr w14:val="tx1"/>
            </w14:solidFill>
          </w14:textFill>
        </w:rPr>
        <w:t>需要提供对应支持证明材料。</w:t>
      </w:r>
    </w:p>
    <w:p w14:paraId="2F8812C4">
      <w:pPr>
        <w:pStyle w:val="15"/>
        <w:keepNext w:val="0"/>
        <w:keepLines w:val="0"/>
        <w:pageBreakBefore w:val="0"/>
        <w:tabs>
          <w:tab w:val="left" w:pos="625"/>
        </w:tabs>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应答文件</w:t>
      </w:r>
      <w:r>
        <w:rPr>
          <w:rFonts w:hint="eastAsia" w:ascii="宋体" w:hAnsi="宋体" w:eastAsia="宋体" w:cs="宋体"/>
          <w:color w:val="000000" w:themeColor="text1"/>
          <w:sz w:val="24"/>
          <w:szCs w:val="24"/>
          <w:highlight w:val="none"/>
          <w14:textFill>
            <w14:solidFill>
              <w14:schemeClr w14:val="tx1"/>
            </w14:solidFill>
          </w14:textFill>
        </w:rPr>
        <w:t>中提供的证明材料复印件应复印清晰、可辨认且不得遮盖、涂抹，否则视为无效</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1AD8BC60">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3.合同金额以所提供的发票及查验截图为准</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2702E571">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宋体"/>
          <w:sz w:val="24"/>
          <w:szCs w:val="24"/>
          <w:highlight w:val="none"/>
          <w:lang w:val="en-US" w:eastAsia="zh-CN"/>
        </w:rPr>
      </w:pPr>
    </w:p>
    <w:sectPr>
      <w:headerReference r:id="rId5" w:type="default"/>
      <w:footerReference r:id="rId6" w:type="default"/>
      <w:pgSz w:w="16838" w:h="11906" w:orient="landscape"/>
      <w:pgMar w:top="1797" w:right="1440" w:bottom="1797" w:left="1440"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FE188">
    <w:pPr>
      <w:pStyle w:val="9"/>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6ECBEE">
                          <w:pPr>
                            <w:pStyle w:val="9"/>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606ECBEE">
                    <w:pPr>
                      <w:pStyle w:val="9"/>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v:textbox>
            </v:shape>
          </w:pict>
        </mc:Fallback>
      </mc:AlternateContent>
    </w:r>
  </w:p>
  <w:p w14:paraId="27A32F68">
    <w:pPr>
      <w:pStyle w:val="8"/>
      <w:spacing w:beforeLines="0" w:afterLines="0" w:line="14" w:lineRule="auto"/>
      <w:ind w:firstLine="240"/>
      <w:rPr>
        <w:rFonts w:hint="default"/>
        <w:sz w:val="12"/>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CFEC8">
    <w:pPr>
      <w:pStyle w:val="10"/>
      <w:pBdr>
        <w:bottom w:val="none" w:color="auto" w:sz="0" w:space="0"/>
      </w:pBdr>
      <w:spacing w:beforeLines="0" w:afterLines="0"/>
      <w:ind w:firstLine="360"/>
      <w:rPr>
        <w:rFonts w:hint="defaul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2915688"/>
    <w:rsid w:val="02E81CD3"/>
    <w:rsid w:val="03D11A28"/>
    <w:rsid w:val="09735423"/>
    <w:rsid w:val="0A755759"/>
    <w:rsid w:val="0D920B1D"/>
    <w:rsid w:val="121A6680"/>
    <w:rsid w:val="162301EE"/>
    <w:rsid w:val="1866242D"/>
    <w:rsid w:val="1AAF2646"/>
    <w:rsid w:val="1E9675A8"/>
    <w:rsid w:val="1F304B56"/>
    <w:rsid w:val="20C0137D"/>
    <w:rsid w:val="21FC4111"/>
    <w:rsid w:val="255B6B18"/>
    <w:rsid w:val="2B3202B6"/>
    <w:rsid w:val="2DB76C7C"/>
    <w:rsid w:val="337C7CAF"/>
    <w:rsid w:val="33B9090D"/>
    <w:rsid w:val="365C4603"/>
    <w:rsid w:val="3BEE59FA"/>
    <w:rsid w:val="3D6F4BC7"/>
    <w:rsid w:val="59F37C6B"/>
    <w:rsid w:val="5A0C2BCB"/>
    <w:rsid w:val="5F1B267B"/>
    <w:rsid w:val="61CD5963"/>
    <w:rsid w:val="64D022E7"/>
    <w:rsid w:val="6522015E"/>
    <w:rsid w:val="6B050BC7"/>
    <w:rsid w:val="6CDD6ED3"/>
    <w:rsid w:val="6FC10DAB"/>
    <w:rsid w:val="794B2F9F"/>
    <w:rsid w:val="7B3E2273"/>
    <w:rsid w:val="7E7A36AD"/>
    <w:rsid w:val="7EAE1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200" w:line="276" w:lineRule="auto"/>
    </w:pPr>
    <w:rPr>
      <w:rFonts w:asciiTheme="majorHAnsi" w:hAnsiTheme="majorHAnsi" w:eastAsiaTheme="majorEastAsia" w:cstheme="majorBidi"/>
      <w:sz w:val="22"/>
      <w:szCs w:val="22"/>
      <w:lang w:val="en-US" w:eastAsia="en-US" w:bidi="en-US"/>
    </w:rPr>
  </w:style>
  <w:style w:type="paragraph" w:styleId="6">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99"/>
    <w:pPr>
      <w:spacing w:after="120"/>
      <w:ind w:left="420" w:firstLine="420"/>
    </w:pPr>
  </w:style>
  <w:style w:type="paragraph" w:styleId="3">
    <w:name w:val="Body Text Indent"/>
    <w:basedOn w:val="1"/>
    <w:next w:val="2"/>
    <w:qFormat/>
    <w:uiPriority w:val="0"/>
    <w:pPr>
      <w:ind w:firstLine="480"/>
    </w:pPr>
    <w:rPr>
      <w:kern w:val="0"/>
      <w:sz w:val="20"/>
    </w:rPr>
  </w:style>
  <w:style w:type="paragraph" w:customStyle="1" w:styleId="4">
    <w:name w:val="表格文字"/>
    <w:basedOn w:val="5"/>
    <w:next w:val="1"/>
    <w:qFormat/>
    <w:uiPriority w:val="0"/>
    <w:pPr>
      <w:spacing w:line="420" w:lineRule="atLeast"/>
      <w:jc w:val="left"/>
      <w:textAlignment w:val="baseline"/>
    </w:pPr>
  </w:style>
  <w:style w:type="paragraph" w:styleId="5">
    <w:name w:val="List"/>
    <w:basedOn w:val="1"/>
    <w:qFormat/>
    <w:uiPriority w:val="0"/>
    <w:pPr>
      <w:ind w:left="420" w:hanging="420"/>
    </w:pPr>
    <w:rPr>
      <w:rFonts w:hint="eastAsia" w:ascii="Times New Roman" w:hAnsi="Times New Roman" w:eastAsia="宋体" w:cs="Times New Roman"/>
      <w:szCs w:val="20"/>
    </w:r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spacing w:after="120"/>
    </w:pPr>
    <w:rPr>
      <w:szCs w:val="24"/>
    </w:rPr>
  </w:style>
  <w:style w:type="paragraph" w:styleId="9">
    <w:name w:val="footer"/>
    <w:basedOn w:val="1"/>
    <w:autoRedefine/>
    <w:unhideWhenUsed/>
    <w:qFormat/>
    <w:uiPriority w:val="0"/>
    <w:pPr>
      <w:tabs>
        <w:tab w:val="center" w:pos="4153"/>
        <w:tab w:val="right" w:pos="8306"/>
      </w:tabs>
      <w:snapToGrid w:val="0"/>
    </w:pPr>
    <w:rPr>
      <w:sz w:val="18"/>
      <w:szCs w:val="18"/>
    </w:rPr>
  </w:style>
  <w:style w:type="paragraph" w:styleId="10">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3">
    <w:name w:val="正文文本2"/>
    <w:basedOn w:val="1"/>
    <w:autoRedefine/>
    <w:qFormat/>
    <w:uiPriority w:val="0"/>
    <w:pPr>
      <w:autoSpaceDE w:val="0"/>
      <w:autoSpaceDN w:val="0"/>
    </w:pPr>
    <w:rPr>
      <w:rFonts w:cs="Times New Roman"/>
      <w:sz w:val="20"/>
      <w:lang w:val="zh-CN"/>
    </w:rPr>
  </w:style>
  <w:style w:type="paragraph" w:customStyle="1" w:styleId="14">
    <w:name w:val="No Spacing"/>
    <w:autoRedefine/>
    <w:qFormat/>
    <w:uiPriority w:val="1"/>
    <w:rPr>
      <w:rFonts w:ascii="宋体" w:hAnsi="宋体" w:eastAsia="宋体" w:cs="宋体"/>
      <w:kern w:val="0"/>
      <w:sz w:val="24"/>
      <w:szCs w:val="24"/>
      <w:lang w:val="en-US" w:eastAsia="zh-CN" w:bidi="ar-SA"/>
    </w:rPr>
  </w:style>
  <w:style w:type="paragraph" w:customStyle="1" w:styleId="15">
    <w:name w:val="Normal_1"/>
    <w:autoRedefine/>
    <w:qFormat/>
    <w:uiPriority w:val="0"/>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5149</Words>
  <Characters>5741</Characters>
  <Lines>0</Lines>
  <Paragraphs>0</Paragraphs>
  <TotalTime>2</TotalTime>
  <ScaleCrop>false</ScaleCrop>
  <LinksUpToDate>false</LinksUpToDate>
  <CharactersWithSpaces>5762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2024-08-01T08:57:00Z</dcterms:created>
  <dc:creator>DELL</dc:creator>
  <cp:lastModifiedBy>韩梅17660167329</cp:lastModifiedBy>
  <dcterms:modified xsi:type="dcterms:W3CDTF">2026-03-27T05:55:19Z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9F1FAB11CBF9406B98D94BB888D72789_13</vt:lpwstr>
  </property>
  <property fmtid="{D5CDD505-2E9C-101B-9397-08002B2CF9AE}" pid="4" name="KSOTemplateDocerSaveRecord">
    <vt:lpwstr>eyJoZGlkIjoiYWYyNmUzZTIxOTM2NWQ5NGQwNDYxODU3N2MzMjZhNzAiLCJ1c2VySWQiOiI5NjA4MzkzNTgifQ==</vt:lpwstr>
  </property>
</Properties>
</file>